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536685133"/>
        <w:docPartObj>
          <w:docPartGallery w:val="Cover Pages"/>
          <w:docPartUnique/>
        </w:docPartObj>
      </w:sdtPr>
      <w:sdtEndPr>
        <w:rPr>
          <w:noProof/>
        </w:rPr>
      </w:sdtEndPr>
      <w:sdtContent>
        <w:p w14:paraId="51D56130" w14:textId="75EE344E" w:rsidR="00D27C9B" w:rsidRDefault="008063C7">
          <w:r>
            <w:rPr>
              <w:noProof/>
            </w:rPr>
            <mc:AlternateContent>
              <mc:Choice Requires="wps">
                <w:drawing>
                  <wp:anchor distT="0" distB="0" distL="114300" distR="114300" simplePos="0" relativeHeight="251726848" behindDoc="0" locked="0" layoutInCell="1" allowOverlap="1" wp14:anchorId="4E462D98" wp14:editId="7C7E4915">
                    <wp:simplePos x="0" y="0"/>
                    <wp:positionH relativeFrom="margin">
                      <wp:posOffset>0</wp:posOffset>
                    </wp:positionH>
                    <wp:positionV relativeFrom="paragraph">
                      <wp:posOffset>7353619</wp:posOffset>
                    </wp:positionV>
                    <wp:extent cx="5241925" cy="1021977"/>
                    <wp:effectExtent l="0" t="0" r="3175" b="6985"/>
                    <wp:wrapNone/>
                    <wp:docPr id="39" name="Text Box 39"/>
                    <wp:cNvGraphicFramePr/>
                    <a:graphic xmlns:a="http://schemas.openxmlformats.org/drawingml/2006/main">
                      <a:graphicData uri="http://schemas.microsoft.com/office/word/2010/wordprocessingShape">
                        <wps:wsp>
                          <wps:cNvSpPr txBox="1"/>
                          <wps:spPr>
                            <a:xfrm>
                              <a:off x="0" y="0"/>
                              <a:ext cx="5241925" cy="1021977"/>
                            </a:xfrm>
                            <a:prstGeom prst="rect">
                              <a:avLst/>
                            </a:prstGeom>
                            <a:noFill/>
                            <a:ln w="6350">
                              <a:noFill/>
                            </a:ln>
                          </wps:spPr>
                          <wps:txbx>
                            <w:txbxContent>
                              <w:p w14:paraId="2515B417" w14:textId="02917688" w:rsidR="00651128" w:rsidRPr="00100C80" w:rsidRDefault="008063C7" w:rsidP="008063C7">
                                <w:pPr>
                                  <w:pStyle w:val="Header1-Inverted"/>
                                  <w:rPr>
                                    <w:lang w:val="en-AU"/>
                                  </w:rPr>
                                </w:pPr>
                                <w:r>
                                  <w:rPr>
                                    <w:lang w:val="en-AU"/>
                                  </w:rPr>
                                  <w:t>Case Study: supporting WISE through a collaborative grant round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462D98" id="_x0000_t202" coordsize="21600,21600" o:spt="202" path="m,l,21600r21600,l21600,xe">
                    <v:stroke joinstyle="miter"/>
                    <v:path gradientshapeok="t" o:connecttype="rect"/>
                  </v:shapetype>
                  <v:shape id="Text Box 39" o:spid="_x0000_s1026" type="#_x0000_t202" style="position:absolute;margin-left:0;margin-top:579.05pt;width:412.75pt;height:80.45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" filled="f" stroked="f" strokeweight=".5pt">
                    <v:textbox inset="0,0,0,0">
                      <w:txbxContent>
                        <w:p w14:paraId="2515B417" w14:textId="02917688" w:rsidR="00651128" w:rsidRPr="00100C80" w:rsidRDefault="008063C7" w:rsidP="008063C7">
                          <w:pPr>
                            <w:pStyle w:val="Header1-Inverted"/>
                            <w:rPr>
                              <w:lang w:val="en-AU"/>
                            </w:rPr>
                          </w:pPr>
                          <w:r>
                            <w:rPr>
                              <w:lang w:val="en-AU"/>
                            </w:rPr>
                            <w:t>Case Study: supporting WISE through a collaborative grant round</w:t>
                          </w:r>
                        </w:p>
                      </w:txbxContent>
                    </v:textbox>
                    <w10:wrap anchorx="margin"/>
                  </v:shape>
                </w:pict>
              </mc:Fallback>
            </mc:AlternateContent>
          </w:r>
          <w:r>
            <w:rPr>
              <w:noProof/>
            </w:rPr>
            <mc:AlternateContent>
              <mc:Choice Requires="wps">
                <w:drawing>
                  <wp:anchor distT="0" distB="0" distL="114300" distR="114300" simplePos="0" relativeHeight="251728896" behindDoc="0" locked="0" layoutInCell="1" allowOverlap="1" wp14:anchorId="7446A688" wp14:editId="14C8B77E">
                    <wp:simplePos x="0" y="0"/>
                    <wp:positionH relativeFrom="margin">
                      <wp:posOffset>320</wp:posOffset>
                    </wp:positionH>
                    <wp:positionV relativeFrom="margin">
                      <wp:posOffset>8626352</wp:posOffset>
                    </wp:positionV>
                    <wp:extent cx="3635375" cy="582930"/>
                    <wp:effectExtent l="0" t="0" r="5080" b="1270"/>
                    <wp:wrapSquare wrapText="bothSides"/>
                    <wp:docPr id="40" name="Text Box 40"/>
                    <wp:cNvGraphicFramePr/>
                    <a:graphic xmlns:a="http://schemas.openxmlformats.org/drawingml/2006/main">
                      <a:graphicData uri="http://schemas.microsoft.com/office/word/2010/wordprocessingShape">
                        <wps:wsp>
                          <wps:cNvSpPr txBox="1"/>
                          <wps:spPr>
                            <a:xfrm>
                              <a:off x="0" y="0"/>
                              <a:ext cx="3635375" cy="582930"/>
                            </a:xfrm>
                            <a:prstGeom prst="rect">
                              <a:avLst/>
                            </a:prstGeom>
                            <a:noFill/>
                            <a:ln w="6350">
                              <a:noFill/>
                            </a:ln>
                          </wps:spPr>
                          <wps:txbx>
                            <w:txbxContent>
                              <w:p w14:paraId="691D9503" w14:textId="3BC6873E" w:rsidR="00651128" w:rsidRPr="00651128" w:rsidRDefault="00100C80" w:rsidP="00651128">
                                <w:pPr>
                                  <w:rPr>
                                    <w:color w:val="FFFFFF" w:themeColor="background1"/>
                                  </w:rPr>
                                </w:pPr>
                                <w:r>
                                  <w:rPr>
                                    <w:rFonts w:ascii="TT Commons Medium" w:hAnsi="TT Commons Medium"/>
                                    <w:color w:val="FFFFFF" w:themeColor="background1"/>
                                    <w:sz w:val="24"/>
                                  </w:rPr>
                                  <w:t>Prepared by Dr Cameron Willis</w:t>
                                </w:r>
                                <w:r w:rsidR="00A75C9D">
                                  <w:rPr>
                                    <w:rFonts w:ascii="TT Commons Medium" w:hAnsi="TT Commons Medium"/>
                                    <w:color w:val="FFFFFF" w:themeColor="background1"/>
                                    <w:sz w:val="24"/>
                                  </w:rPr>
                                  <w:t xml:space="preserve">, </w:t>
                                </w:r>
                                <w:r>
                                  <w:rPr>
                                    <w:rFonts w:ascii="TT Commons Medium" w:hAnsi="TT Commons Medium"/>
                                    <w:color w:val="FFFFFF" w:themeColor="background1"/>
                                    <w:sz w:val="24"/>
                                  </w:rPr>
                                  <w:t xml:space="preserve">Dr Nic </w:t>
                                </w:r>
                                <w:proofErr w:type="spellStart"/>
                                <w:r>
                                  <w:rPr>
                                    <w:rFonts w:ascii="TT Commons Medium" w:hAnsi="TT Commons Medium"/>
                                    <w:color w:val="FFFFFF" w:themeColor="background1"/>
                                    <w:sz w:val="24"/>
                                  </w:rPr>
                                  <w:t>Vogelpoel</w:t>
                                </w:r>
                                <w:proofErr w:type="spellEnd"/>
                                <w:r w:rsidR="00A75C9D">
                                  <w:rPr>
                                    <w:rFonts w:ascii="TT Commons Medium" w:hAnsi="TT Commons Medium"/>
                                    <w:color w:val="FFFFFF" w:themeColor="background1"/>
                                    <w:sz w:val="24"/>
                                  </w:rPr>
                                  <w:t xml:space="preserve"> and Mallory </w:t>
                                </w:r>
                                <w:proofErr w:type="spellStart"/>
                                <w:r w:rsidR="00A75C9D">
                                  <w:rPr>
                                    <w:rFonts w:ascii="TT Commons Medium" w:hAnsi="TT Commons Medium"/>
                                    <w:color w:val="FFFFFF" w:themeColor="background1"/>
                                    <w:sz w:val="24"/>
                                  </w:rPr>
                                  <w:t>Pryde</w:t>
                                </w:r>
                                <w:proofErr w:type="spellEnd"/>
                              </w:p>
                              <w:p w14:paraId="2EEA7B31" w14:textId="77777777" w:rsidR="00651128" w:rsidRPr="00651128" w:rsidRDefault="00651128" w:rsidP="00651128">
                                <w:pPr>
                                  <w:rPr>
                                    <w:color w:val="FFFFFF" w:themeColor="background1"/>
                                  </w:rPr>
                                </w:pPr>
                                <w:r w:rsidRPr="00651128">
                                  <w:rPr>
                                    <w:color w:val="FFFFFF" w:themeColor="background1"/>
                                  </w:rPr>
                                  <w:t>Day Four Projects</w:t>
                                </w:r>
                              </w:p>
                              <w:p w14:paraId="1D6ED939" w14:textId="749019E3" w:rsidR="00651128" w:rsidRPr="00651128" w:rsidRDefault="00100C80">
                                <w:pPr>
                                  <w:rPr>
                                    <w:color w:val="FFFFFF" w:themeColor="background1"/>
                                  </w:rPr>
                                </w:pPr>
                                <w:r>
                                  <w:rPr>
                                    <w:color w:val="FFFFFF" w:themeColor="background1"/>
                                  </w:rPr>
                                  <w:t>June 202</w:t>
                                </w:r>
                                <w:r w:rsidR="00A75C9D">
                                  <w:rPr>
                                    <w:color w:val="FFFFFF" w:themeColor="background1"/>
                                  </w:rPr>
                                  <w:t>4</w:t>
                                </w:r>
                              </w:p>
                            </w:txbxContent>
                          </wps:txbx>
                          <wps:bodyPr rot="0" spcFirstLastPara="0" vertOverflow="overflow" horzOverflow="overflow" vert="horz" wrap="non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46A688" id="Text Box 40" o:spid="_x0000_s1027" type="#_x0000_t202" style="position:absolute;margin-left:.05pt;margin-top:679.25pt;width:286.25pt;height:45.9pt;z-index:251728896;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" filled="f" stroked="f" strokeweight=".5pt">
                    <v:textbox inset="0,0,0,0">
                      <w:txbxContent>
                        <w:p w14:paraId="691D9503" w14:textId="3BC6873E" w:rsidR="00651128" w:rsidRPr="00651128" w:rsidRDefault="00100C80" w:rsidP="00651128">
                          <w:pPr>
                            <w:rPr>
                              <w:color w:val="FFFFFF" w:themeColor="background1"/>
                            </w:rPr>
                          </w:pPr>
                          <w:r>
                            <w:rPr>
                              <w:rFonts w:ascii="TT Commons Medium" w:hAnsi="TT Commons Medium"/>
                              <w:color w:val="FFFFFF" w:themeColor="background1"/>
                              <w:sz w:val="24"/>
                            </w:rPr>
                            <w:t>Prepared by Dr Cameron Willis</w:t>
                          </w:r>
                          <w:r w:rsidR="00A75C9D">
                            <w:rPr>
                              <w:rFonts w:ascii="TT Commons Medium" w:hAnsi="TT Commons Medium"/>
                              <w:color w:val="FFFFFF" w:themeColor="background1"/>
                              <w:sz w:val="24"/>
                            </w:rPr>
                            <w:t xml:space="preserve">, </w:t>
                          </w:r>
                          <w:r>
                            <w:rPr>
                              <w:rFonts w:ascii="TT Commons Medium" w:hAnsi="TT Commons Medium"/>
                              <w:color w:val="FFFFFF" w:themeColor="background1"/>
                              <w:sz w:val="24"/>
                            </w:rPr>
                            <w:t xml:space="preserve">Dr Nic </w:t>
                          </w:r>
                          <w:proofErr w:type="spellStart"/>
                          <w:r>
                            <w:rPr>
                              <w:rFonts w:ascii="TT Commons Medium" w:hAnsi="TT Commons Medium"/>
                              <w:color w:val="FFFFFF" w:themeColor="background1"/>
                              <w:sz w:val="24"/>
                            </w:rPr>
                            <w:t>Vogelpoel</w:t>
                          </w:r>
                          <w:proofErr w:type="spellEnd"/>
                          <w:r w:rsidR="00A75C9D">
                            <w:rPr>
                              <w:rFonts w:ascii="TT Commons Medium" w:hAnsi="TT Commons Medium"/>
                              <w:color w:val="FFFFFF" w:themeColor="background1"/>
                              <w:sz w:val="24"/>
                            </w:rPr>
                            <w:t xml:space="preserve"> and Mallory </w:t>
                          </w:r>
                          <w:proofErr w:type="spellStart"/>
                          <w:r w:rsidR="00A75C9D">
                            <w:rPr>
                              <w:rFonts w:ascii="TT Commons Medium" w:hAnsi="TT Commons Medium"/>
                              <w:color w:val="FFFFFF" w:themeColor="background1"/>
                              <w:sz w:val="24"/>
                            </w:rPr>
                            <w:t>Pryde</w:t>
                          </w:r>
                          <w:proofErr w:type="spellEnd"/>
                        </w:p>
                        <w:p w14:paraId="2EEA7B31" w14:textId="77777777" w:rsidR="00651128" w:rsidRPr="00651128" w:rsidRDefault="00651128" w:rsidP="00651128">
                          <w:pPr>
                            <w:rPr>
                              <w:color w:val="FFFFFF" w:themeColor="background1"/>
                            </w:rPr>
                          </w:pPr>
                          <w:r w:rsidRPr="00651128">
                            <w:rPr>
                              <w:color w:val="FFFFFF" w:themeColor="background1"/>
                            </w:rPr>
                            <w:t>Day Four Projects</w:t>
                          </w:r>
                        </w:p>
                        <w:p w14:paraId="1D6ED939" w14:textId="749019E3" w:rsidR="00651128" w:rsidRPr="00651128" w:rsidRDefault="00100C80">
                          <w:pPr>
                            <w:rPr>
                              <w:color w:val="FFFFFF" w:themeColor="background1"/>
                            </w:rPr>
                          </w:pPr>
                          <w:r>
                            <w:rPr>
                              <w:color w:val="FFFFFF" w:themeColor="background1"/>
                            </w:rPr>
                            <w:t>June 202</w:t>
                          </w:r>
                          <w:r w:rsidR="00A75C9D">
                            <w:rPr>
                              <w:color w:val="FFFFFF" w:themeColor="background1"/>
                            </w:rPr>
                            <w:t>4</w:t>
                          </w:r>
                        </w:p>
                      </w:txbxContent>
                    </v:textbox>
                    <w10:wrap type="square" anchorx="margin" anchory="margin"/>
                  </v:shape>
                </w:pict>
              </mc:Fallback>
            </mc:AlternateContent>
          </w:r>
          <w:r w:rsidR="00D03F3F">
            <w:rPr>
              <w:noProof/>
            </w:rPr>
            <w:drawing>
              <wp:anchor distT="0" distB="0" distL="114300" distR="114300" simplePos="0" relativeHeight="251736064" behindDoc="1" locked="0" layoutInCell="1" allowOverlap="1" wp14:anchorId="282D051C" wp14:editId="76864523">
                <wp:simplePos x="0" y="0"/>
                <wp:positionH relativeFrom="column">
                  <wp:posOffset>-2067784</wp:posOffset>
                </wp:positionH>
                <wp:positionV relativeFrom="paragraph">
                  <wp:posOffset>1125855</wp:posOffset>
                </wp:positionV>
                <wp:extent cx="9980574" cy="5544000"/>
                <wp:effectExtent l="0" t="0" r="1905" b="6350"/>
                <wp:wrapNone/>
                <wp:docPr id="60" name="Picture 60" descr="A picture containing text, dir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A picture containing text, dirty&#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9980574" cy="5544000"/>
                        </a:xfrm>
                        <a:prstGeom prst="rect">
                          <a:avLst/>
                        </a:prstGeom>
                      </pic:spPr>
                    </pic:pic>
                  </a:graphicData>
                </a:graphic>
                <wp14:sizeRelH relativeFrom="page">
                  <wp14:pctWidth>0</wp14:pctWidth>
                </wp14:sizeRelH>
                <wp14:sizeRelV relativeFrom="page">
                  <wp14:pctHeight>0</wp14:pctHeight>
                </wp14:sizeRelV>
              </wp:anchor>
            </w:drawing>
          </w:r>
          <w:r w:rsidR="00D03F3F">
            <w:rPr>
              <w:noProof/>
            </w:rPr>
            <mc:AlternateContent>
              <mc:Choice Requires="wps">
                <w:drawing>
                  <wp:anchor distT="0" distB="0" distL="114300" distR="114300" simplePos="0" relativeHeight="251735040" behindDoc="0" locked="0" layoutInCell="1" allowOverlap="1" wp14:anchorId="6F4D6B06" wp14:editId="51BCCA25">
                    <wp:simplePos x="0" y="0"/>
                    <wp:positionH relativeFrom="margin">
                      <wp:align>left</wp:align>
                    </wp:positionH>
                    <wp:positionV relativeFrom="margin">
                      <wp:align>top</wp:align>
                    </wp:positionV>
                    <wp:extent cx="1454150" cy="870585"/>
                    <wp:effectExtent l="0" t="0" r="6350" b="5715"/>
                    <wp:wrapSquare wrapText="bothSides"/>
                    <wp:docPr id="54" name="Text Box 54"/>
                    <wp:cNvGraphicFramePr/>
                    <a:graphic xmlns:a="http://schemas.openxmlformats.org/drawingml/2006/main">
                      <a:graphicData uri="http://schemas.microsoft.com/office/word/2010/wordprocessingShape">
                        <wps:wsp>
                          <wps:cNvSpPr txBox="1"/>
                          <wps:spPr>
                            <a:xfrm>
                              <a:off x="0" y="0"/>
                              <a:ext cx="1454331" cy="870585"/>
                            </a:xfrm>
                            <a:prstGeom prst="rect">
                              <a:avLst/>
                            </a:prstGeom>
                            <a:noFill/>
                            <a:ln w="6350">
                              <a:noFill/>
                            </a:ln>
                          </wps:spPr>
                          <wps:txbx>
                            <w:txbxContent>
                              <w:p w14:paraId="2C5403FA" w14:textId="5F5F8F46" w:rsidR="00D03F3F" w:rsidRDefault="00D03F3F">
                                <w:r>
                                  <w:rPr>
                                    <w:noProof/>
                                  </w:rPr>
                                  <w:drawing>
                                    <wp:inline distT="0" distB="0" distL="0" distR="0" wp14:anchorId="70085C79" wp14:editId="5AE88432">
                                      <wp:extent cx="949802" cy="631207"/>
                                      <wp:effectExtent l="0" t="0" r="3810" b="0"/>
                                      <wp:docPr id="469" name="Picture 469"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Text&#10;&#10;Description automatically generated with medium confidence"/>
                                              <pic:cNvPicPr/>
                                            </pic:nvPicPr>
                                            <pic:blipFill>
                                              <a:blip r:embed="rId9" cstate="print">
                                                <a:extLst>
                                                  <a:ext uri="{28A0092B-C50C-407E-A947-70E740481C1C}">
                                                    <a14:useLocalDpi xmlns:a14="http://schemas.microsoft.com/office/drawing/2010/main" val="0"/>
                                                  </a:ext>
                                                </a:extLst>
                                              </a:blip>
                                              <a:stretch>
                                                <a:fillRect/>
                                              </a:stretch>
                                            </pic:blipFill>
                                            <pic:spPr>
                                              <a:xfrm>
                                                <a:off x="0" y="0"/>
                                                <a:ext cx="949802" cy="631207"/>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4D6B06" id="Text Box 54" o:spid="_x0000_s1028" type="#_x0000_t202" style="position:absolute;margin-left:0;margin-top:0;width:114.5pt;height:68.55pt;z-index:251735040;visibility:visible;mso-wrap-style:square;mso-width-percent:0;mso-height-percent:0;mso-wrap-distance-left:9pt;mso-wrap-distance-top:0;mso-wrap-distance-right:9pt;mso-wrap-distance-bottom:0;mso-position-horizontal:left;mso-position-horizontal-relative:margin;mso-position-vertical:top;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" filled="f" stroked="f" strokeweight=".5pt">
                    <v:textbox inset="0,0,0,0">
                      <w:txbxContent>
                        <w:p w14:paraId="2C5403FA" w14:textId="5F5F8F46" w:rsidR="00D03F3F" w:rsidRDefault="00D03F3F">
                          <w:r>
                            <w:rPr>
                              <w:noProof/>
                            </w:rPr>
                            <w:drawing>
                              <wp:inline distT="0" distB="0" distL="0" distR="0" wp14:anchorId="70085C79" wp14:editId="5AE88432">
                                <wp:extent cx="949802" cy="631207"/>
                                <wp:effectExtent l="0" t="0" r="3810" b="0"/>
                                <wp:docPr id="469" name="Picture 469"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Text&#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49802" cy="631207"/>
                                        </a:xfrm>
                                        <a:prstGeom prst="rect">
                                          <a:avLst/>
                                        </a:prstGeom>
                                      </pic:spPr>
                                    </pic:pic>
                                  </a:graphicData>
                                </a:graphic>
                              </wp:inline>
                            </w:drawing>
                          </w:r>
                        </w:p>
                      </w:txbxContent>
                    </v:textbox>
                    <w10:wrap type="square" anchorx="margin" anchory="margin"/>
                  </v:shape>
                </w:pict>
              </mc:Fallback>
            </mc:AlternateContent>
          </w:r>
          <w:r w:rsidR="00D03F3F">
            <w:rPr>
              <w:noProof/>
            </w:rPr>
            <mc:AlternateContent>
              <mc:Choice Requires="wps">
                <w:drawing>
                  <wp:anchor distT="0" distB="0" distL="114300" distR="114300" simplePos="0" relativeHeight="251732992" behindDoc="0" locked="0" layoutInCell="1" allowOverlap="1" wp14:anchorId="4B5AF91A" wp14:editId="30E80D61">
                    <wp:simplePos x="0" y="0"/>
                    <wp:positionH relativeFrom="margin">
                      <wp:posOffset>4545330</wp:posOffset>
                    </wp:positionH>
                    <wp:positionV relativeFrom="margin">
                      <wp:posOffset>-635</wp:posOffset>
                    </wp:positionV>
                    <wp:extent cx="1314450" cy="870585"/>
                    <wp:effectExtent l="0" t="0" r="8255" b="1905"/>
                    <wp:wrapSquare wrapText="bothSides"/>
                    <wp:docPr id="45" name="Text Box 45"/>
                    <wp:cNvGraphicFramePr/>
                    <a:graphic xmlns:a="http://schemas.openxmlformats.org/drawingml/2006/main">
                      <a:graphicData uri="http://schemas.microsoft.com/office/word/2010/wordprocessingShape">
                        <wps:wsp>
                          <wps:cNvSpPr txBox="1"/>
                          <wps:spPr>
                            <a:xfrm>
                              <a:off x="0" y="0"/>
                              <a:ext cx="1314450" cy="870585"/>
                            </a:xfrm>
                            <a:prstGeom prst="rect">
                              <a:avLst/>
                            </a:prstGeom>
                            <a:noFill/>
                            <a:ln w="6350">
                              <a:noFill/>
                            </a:ln>
                          </wps:spPr>
                          <wps:txbx>
                            <w:txbxContent>
                              <w:p w14:paraId="0AA6A538" w14:textId="55ADD6E9" w:rsidR="00D03F3F" w:rsidRDefault="00D03F3F"/>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5AF91A" id="Text Box 45" o:spid="_x0000_s1029" type="#_x0000_t202" style="position:absolute;margin-left:357.9pt;margin-top:-.05pt;width:103.5pt;height:68.55pt;z-index:2517329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" filled="f" stroked="f" strokeweight=".5pt">
                    <v:textbox inset="0,0,0,0">
                      <w:txbxContent>
                        <w:p w14:paraId="0AA6A538" w14:textId="55ADD6E9" w:rsidR="00D03F3F" w:rsidRDefault="00D03F3F"/>
                      </w:txbxContent>
                    </v:textbox>
                    <w10:wrap type="square" anchorx="margin" anchory="margin"/>
                  </v:shape>
                </w:pict>
              </mc:Fallback>
            </mc:AlternateContent>
          </w:r>
          <w:r w:rsidR="00D03F3F">
            <w:rPr>
              <w:noProof/>
            </w:rPr>
            <mc:AlternateContent>
              <mc:Choice Requires="wps">
                <w:drawing>
                  <wp:anchor distT="0" distB="0" distL="114300" distR="114300" simplePos="0" relativeHeight="251724800" behindDoc="1" locked="0" layoutInCell="1" allowOverlap="1" wp14:anchorId="606CE544" wp14:editId="40379944">
                    <wp:simplePos x="0" y="0"/>
                    <wp:positionH relativeFrom="page">
                      <wp:posOffset>8709</wp:posOffset>
                    </wp:positionH>
                    <wp:positionV relativeFrom="page">
                      <wp:posOffset>-992777</wp:posOffset>
                    </wp:positionV>
                    <wp:extent cx="7741920" cy="11660777"/>
                    <wp:effectExtent l="0" t="0" r="5080" b="0"/>
                    <wp:wrapNone/>
                    <wp:docPr id="38" name="Rectangle 38" title="Color background"/>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41920" cy="11660777"/>
                            </a:xfrm>
                            <a:prstGeom prst="rect">
                              <a:avLst/>
                            </a:prstGeom>
                            <a:solidFill>
                              <a:schemeClr val="accent1"/>
                            </a:solidFill>
                            <a:ln>
                              <a:noFill/>
                            </a:ln>
                          </wps:spPr>
                          <wps:txbx>
                            <w:txbxContent>
                              <w:p w14:paraId="18914007" w14:textId="4047AC72" w:rsidR="00D03F3F" w:rsidRDefault="00D03F3F" w:rsidP="00D03F3F">
                                <w:pPr>
                                  <w:jc w:val="center"/>
                                </w:pPr>
                                <w:r>
                                  <w:t xml:space="preserve"> </w:t>
                                </w:r>
                              </w:p>
                            </w:txbxContent>
                          </wps:txbx>
                          <wps:bodyPr vert="horz" wrap="square" lIns="91440" tIns="45720" rIns="91440" bIns="45720" numCol="1" anchor="t"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rect w14:anchorId="606CE544" id="Rectangle 38" o:spid="_x0000_s1030" alt="Title: Color background" style="position:absolute;margin-left:.7pt;margin-top:-78.15pt;width:609.6pt;height:918.15pt;z-index:-251591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" fillcolor="#4d64af [3204]" stroked="f">
                    <v:textbox>
                      <w:txbxContent>
                        <w:p w14:paraId="18914007" w14:textId="4047AC72" w:rsidR="00D03F3F" w:rsidRDefault="00D03F3F" w:rsidP="00D03F3F">
                          <w:pPr>
                            <w:jc w:val="center"/>
                          </w:pPr>
                          <w:r>
                            <w:t xml:space="preserve"> </w:t>
                          </w:r>
                        </w:p>
                      </w:txbxContent>
                    </v:textbox>
                    <w10:wrap anchorx="page" anchory="page"/>
                  </v:rect>
                </w:pict>
              </mc:Fallback>
            </mc:AlternateContent>
          </w:r>
          <w:r w:rsidR="00D03F3F">
            <w:rPr>
              <w:noProof/>
            </w:rPr>
            <w:softHyphen/>
          </w:r>
          <w:r w:rsidR="00D03F3F">
            <w:rPr>
              <w:noProof/>
            </w:rPr>
            <w:softHyphen/>
          </w:r>
          <w:r w:rsidR="00D03F3F">
            <w:rPr>
              <w:noProof/>
            </w:rPr>
            <w:softHyphen/>
          </w:r>
          <w:r w:rsidR="00D27C9B">
            <w:rPr>
              <w:noProof/>
            </w:rPr>
            <w:br w:type="page"/>
          </w:r>
        </w:p>
      </w:sdtContent>
    </w:sdt>
    <w:p w14:paraId="2EFB6EB3" w14:textId="77777777" w:rsidR="0052091C" w:rsidRPr="0052091C" w:rsidRDefault="0052091C" w:rsidP="0052091C">
      <w:pPr>
        <w:pStyle w:val="Header2"/>
      </w:pPr>
      <w:r w:rsidRPr="0052091C">
        <w:lastRenderedPageBreak/>
        <w:t>Key Messages:</w:t>
      </w:r>
    </w:p>
    <w:p w14:paraId="7ED2A5B6" w14:textId="77777777" w:rsidR="0052091C" w:rsidRPr="0052091C" w:rsidRDefault="0052091C" w:rsidP="0052091C">
      <w:pPr>
        <w:pStyle w:val="Bullet1"/>
      </w:pPr>
      <w:r w:rsidRPr="0052091C">
        <w:t>The WISE Grant Round was a pilot collaborative among seven funding organisations, with early results suggesting that it has helped to simplify and streamline access to philanthropic funding for grant applicants (via a 2-step application process that had high quality supporting documentation, information and communication).</w:t>
      </w:r>
    </w:p>
    <w:p w14:paraId="722C2B67" w14:textId="77777777" w:rsidR="0052091C" w:rsidRPr="0052091C" w:rsidRDefault="0052091C" w:rsidP="0052091C">
      <w:pPr>
        <w:pStyle w:val="Bullet1"/>
      </w:pPr>
      <w:r w:rsidRPr="0052091C">
        <w:t>The process has helped to develop collaborative blueprints and structural frameworks for sector wide adaptation, including a self-completed Social Enterprise Assessment Matrix.</w:t>
      </w:r>
    </w:p>
    <w:p w14:paraId="238A0B07" w14:textId="77777777" w:rsidR="0052091C" w:rsidRPr="0052091C" w:rsidRDefault="0052091C" w:rsidP="0052091C">
      <w:pPr>
        <w:pStyle w:val="Bullet1"/>
      </w:pPr>
      <w:r w:rsidRPr="0052091C">
        <w:t xml:space="preserve">Good collaboration requires significant work and investment from collaborators, and a commitment to shared and individual ambitions. </w:t>
      </w:r>
    </w:p>
    <w:p w14:paraId="01D5C1B8" w14:textId="77777777" w:rsidR="0052091C" w:rsidRPr="0052091C" w:rsidRDefault="0052091C" w:rsidP="0052091C">
      <w:pPr>
        <w:pStyle w:val="Bullet1"/>
      </w:pPr>
      <w:r w:rsidRPr="0052091C">
        <w:t>There are key principles for good collaboration that may be considered for application for future collaborations, particularly those involving funder-funder relationships.</w:t>
      </w:r>
    </w:p>
    <w:p w14:paraId="276C1C24" w14:textId="5FB7D132" w:rsidR="00FA0F95" w:rsidRDefault="00A75C9D" w:rsidP="0052091C">
      <w:pPr>
        <w:pStyle w:val="Header2"/>
      </w:pPr>
      <w:r>
        <w:t>Background</w:t>
      </w:r>
    </w:p>
    <w:p w14:paraId="0FAB0460" w14:textId="77777777" w:rsidR="00A75C9D" w:rsidRDefault="00A75C9D" w:rsidP="00A75C9D">
      <w:pPr>
        <w:rPr>
          <w:bCs/>
        </w:rPr>
      </w:pPr>
      <w:r>
        <w:rPr>
          <w:bCs/>
        </w:rPr>
        <w:t>Work Integration Social Enterprises (WISE) are an important mechanism for supporting people to access meaningful, secure and dignified employment. And they are good at doing this: for every $1 million in turnover, social enterprises are estimated to create nine new jobs, and help to reduce barriers to employment by integrating real-world work with training, education and skill development.</w:t>
      </w:r>
      <w:r>
        <w:rPr>
          <w:rStyle w:val="FootnoteReference"/>
          <w:bCs/>
        </w:rPr>
        <w:footnoteReference w:id="1"/>
      </w:r>
      <w:r>
        <w:rPr>
          <w:bCs/>
        </w:rPr>
        <w:t xml:space="preserve"> What’s more, many WISE focus on creating these jobs and opportunities with those who face the most significant barriers to positive employment outcomes, including young people, women experiencing disadvantage, refugees and asylum seekers, First Nations people, and people living with a disability.</w:t>
      </w:r>
    </w:p>
    <w:p w14:paraId="2ED38DF3" w14:textId="77777777" w:rsidR="00A75C9D" w:rsidRDefault="00A75C9D" w:rsidP="00A75C9D">
      <w:pPr>
        <w:rPr>
          <w:bCs/>
        </w:rPr>
      </w:pPr>
    </w:p>
    <w:p w14:paraId="04F96A2A" w14:textId="77777777" w:rsidR="00A75C9D" w:rsidRDefault="00A75C9D" w:rsidP="00A75C9D">
      <w:pPr>
        <w:rPr>
          <w:bCs/>
        </w:rPr>
      </w:pPr>
      <w:r>
        <w:rPr>
          <w:bCs/>
        </w:rPr>
        <w:t>Despite the role and value of WISE to Australian job seekers, there are unique challenges that stand in the way of WISE realizing their full impact. These challenges include the significant costs they incur through working with people from marginalized groups, and a lack of sustainable funding for their core costs and outcomes they deliver. Estimates suggest that these expenses, which include wages for support staff, property costs and training costs, can account for almost 30% of total running costs for WISE.</w:t>
      </w:r>
      <w:r>
        <w:rPr>
          <w:rStyle w:val="FootnoteReference"/>
          <w:bCs/>
        </w:rPr>
        <w:footnoteReference w:id="2"/>
      </w:r>
      <w:r>
        <w:rPr>
          <w:bCs/>
        </w:rPr>
        <w:t xml:space="preserve"> </w:t>
      </w:r>
    </w:p>
    <w:p w14:paraId="54CB931E" w14:textId="77777777" w:rsidR="002008B1" w:rsidRDefault="002008B1" w:rsidP="00A75C9D">
      <w:pPr>
        <w:rPr>
          <w:bCs/>
        </w:rPr>
      </w:pPr>
    </w:p>
    <w:p w14:paraId="6F6A7A4A" w14:textId="77777777" w:rsidR="00A75C9D" w:rsidRDefault="00A75C9D" w:rsidP="00A75C9D">
      <w:pPr>
        <w:rPr>
          <w:bCs/>
        </w:rPr>
      </w:pPr>
      <w:r>
        <w:rPr>
          <w:bCs/>
        </w:rPr>
        <w:t xml:space="preserve">Finding and securing financial support (including from philanthropic sources) to meet these costs is a challenge. Many WISE are required to navigate a highly fragmented philanthropic system, and apply to multiple funding organisations, each with their own application requirements and processes. These processes take time away from WISE doing what they do best. </w:t>
      </w:r>
    </w:p>
    <w:p w14:paraId="0E409FE0" w14:textId="77777777" w:rsidR="00A4574B" w:rsidRDefault="00A4574B" w:rsidP="00886C93">
      <w:pPr>
        <w:jc w:val="both"/>
      </w:pPr>
    </w:p>
    <w:p w14:paraId="0F4D023B" w14:textId="77777777" w:rsidR="00A75C9D" w:rsidRPr="008E4342" w:rsidRDefault="00A75C9D" w:rsidP="00A75C9D">
      <w:pPr>
        <w:spacing w:before="120" w:line="264" w:lineRule="auto"/>
        <w:ind w:left="720"/>
        <w:rPr>
          <w:color w:val="3C3C3C"/>
        </w:rPr>
      </w:pPr>
      <w:r w:rsidRPr="008E4342">
        <w:rPr>
          <w:i/>
          <w:color w:val="3C3C3C"/>
        </w:rPr>
        <w:t xml:space="preserve">“Because essentially philanthropy is quite opaque. And it can be hard for not for profits to get known to the big philanthropists. You don’t know if you should be applying for everything – there’s a big power imbalance” </w:t>
      </w:r>
      <w:r>
        <w:rPr>
          <w:i/>
          <w:color w:val="3C3C3C"/>
        </w:rPr>
        <w:t xml:space="preserve">- </w:t>
      </w:r>
      <w:r>
        <w:rPr>
          <w:color w:val="3C3C3C"/>
        </w:rPr>
        <w:t>Social Enterprise Advisory Group (SEAG)</w:t>
      </w:r>
      <w:r w:rsidRPr="008E4342">
        <w:rPr>
          <w:color w:val="3C3C3C"/>
        </w:rPr>
        <w:t xml:space="preserve"> member</w:t>
      </w:r>
      <w:r>
        <w:rPr>
          <w:rStyle w:val="FootnoteReference"/>
          <w:color w:val="3C3C3C"/>
        </w:rPr>
        <w:footnoteReference w:id="3"/>
      </w:r>
    </w:p>
    <w:p w14:paraId="1FBE9796" w14:textId="77777777" w:rsidR="00345EE4" w:rsidRPr="00FA2BBE" w:rsidRDefault="00345EE4" w:rsidP="00886C93">
      <w:pPr>
        <w:jc w:val="both"/>
      </w:pPr>
    </w:p>
    <w:p w14:paraId="63AB80E4" w14:textId="77777777" w:rsidR="00A75C9D" w:rsidRDefault="00A75C9D" w:rsidP="00A75C9D">
      <w:pPr>
        <w:rPr>
          <w:bCs/>
          <w:lang w:val="en"/>
        </w:rPr>
      </w:pPr>
      <w:bookmarkStart w:id="0" w:name="_Toc1756049"/>
      <w:r w:rsidRPr="00A75C9D">
        <w:rPr>
          <w:bCs/>
          <w:lang w:val="en"/>
        </w:rPr>
        <w:t xml:space="preserve">The WISE Grant Round has been an early effort to address some of the challenges that WISE face in accessing philanthropic support. Launched in 2023 as a pilot initiative, the WISE Grant brought together seven of Australia’s leading philanthropic organisations to collaborate on a single open grant round for WISE: helping to reduce the barriers to applying </w:t>
      </w:r>
      <w:proofErr w:type="gramStart"/>
      <w:r w:rsidRPr="00A75C9D">
        <w:rPr>
          <w:bCs/>
          <w:lang w:val="en"/>
        </w:rPr>
        <w:t>for, and</w:t>
      </w:r>
      <w:proofErr w:type="gramEnd"/>
      <w:r w:rsidRPr="00A75C9D">
        <w:rPr>
          <w:bCs/>
          <w:lang w:val="en"/>
        </w:rPr>
        <w:t xml:space="preserve"> securing philanthropic support. This approach is new for philanthropy in Australia, and an opportunity to learn about how to mobilise support from multiple funding organisations, as well as the types of benefits and challenges that come from working in this way. </w:t>
      </w:r>
      <w:bookmarkStart w:id="1" w:name="_Toc1756050"/>
      <w:bookmarkEnd w:id="0"/>
    </w:p>
    <w:p w14:paraId="33F6636F" w14:textId="486EAD33" w:rsidR="00A75C9D" w:rsidRPr="00A75C9D" w:rsidRDefault="00A75C9D" w:rsidP="00A75C9D">
      <w:pPr>
        <w:pStyle w:val="Header2"/>
        <w:rPr>
          <w:lang w:val="en"/>
        </w:rPr>
      </w:pPr>
      <w:r w:rsidRPr="00A75C9D">
        <w:rPr>
          <w:lang w:val="en"/>
        </w:rPr>
        <w:lastRenderedPageBreak/>
        <w:t>Vision for change: genesis and design of the WISE Grant Program Pilot</w:t>
      </w:r>
    </w:p>
    <w:p w14:paraId="0E5158A5" w14:textId="0EC8C91C" w:rsidR="00A75C9D" w:rsidRPr="00A75C9D" w:rsidRDefault="00A75C9D" w:rsidP="00A75C9D">
      <w:pPr>
        <w:rPr>
          <w:bCs/>
          <w:lang w:val="en"/>
        </w:rPr>
      </w:pPr>
      <w:r w:rsidRPr="00A75C9D">
        <w:rPr>
          <w:bCs/>
          <w:lang w:val="en"/>
        </w:rPr>
        <w:t xml:space="preserve">The idea for a collaborative approach to supporting WISE in Australia came – like many good things – over breakfast. The team from the Westpac Foundation brought together leaders from across philanthropy at a breakfast meeting at the Philanthropy Australia conference in Sydney in September 2022. This meeting laid the foundations for the </w:t>
      </w:r>
      <w:proofErr w:type="gramStart"/>
      <w:r w:rsidRPr="00A75C9D">
        <w:rPr>
          <w:bCs/>
          <w:lang w:val="en"/>
        </w:rPr>
        <w:t>collaborative, and</w:t>
      </w:r>
      <w:proofErr w:type="gramEnd"/>
      <w:r w:rsidRPr="00A75C9D">
        <w:rPr>
          <w:bCs/>
          <w:lang w:val="en"/>
        </w:rPr>
        <w:t xml:space="preserve"> was followed by high-level engagement from CEOs from across multiple philanthropies. Soon, work was underway to establish a collaborative Steering Committee and to co-design agreed ways of work</w:t>
      </w:r>
      <w:r w:rsidR="00655115">
        <w:rPr>
          <w:bCs/>
          <w:lang w:val="en"/>
        </w:rPr>
        <w:t>ing</w:t>
      </w:r>
      <w:r w:rsidRPr="00A75C9D">
        <w:rPr>
          <w:bCs/>
          <w:lang w:val="en"/>
        </w:rPr>
        <w:t>, an overall vision for the grant, and a Theory of Change to help identify shared directions and outcomes. Early in-</w:t>
      </w:r>
      <w:r w:rsidR="00E25383" w:rsidRPr="00A75C9D">
        <w:rPr>
          <w:bCs/>
          <w:lang w:val="en"/>
        </w:rPr>
        <w:t>principal</w:t>
      </w:r>
      <w:r w:rsidRPr="00A75C9D">
        <w:rPr>
          <w:bCs/>
          <w:lang w:val="en"/>
        </w:rPr>
        <w:t xml:space="preserve"> commitments came from many of those involved, and the team from </w:t>
      </w:r>
      <w:proofErr w:type="spellStart"/>
      <w:r w:rsidRPr="00A75C9D">
        <w:rPr>
          <w:bCs/>
          <w:lang w:val="en"/>
        </w:rPr>
        <w:t>MinterEllison</w:t>
      </w:r>
      <w:proofErr w:type="spellEnd"/>
      <w:r w:rsidRPr="00A75C9D">
        <w:rPr>
          <w:bCs/>
          <w:lang w:val="en"/>
        </w:rPr>
        <w:t xml:space="preserve"> provided much needed pro-bono support in developing a legally sound Memorandum of Understanding (MOU) among the seven philanthropic partners involved. </w:t>
      </w:r>
    </w:p>
    <w:p w14:paraId="17A8DB26" w14:textId="70B76699" w:rsidR="005A0FBA" w:rsidRPr="00A75C9D" w:rsidRDefault="005A0FBA" w:rsidP="00A75C9D">
      <w:pPr>
        <w:rPr>
          <w:bCs/>
          <w:lang w:val="en"/>
        </w:rPr>
      </w:pPr>
    </w:p>
    <w:bookmarkEnd w:id="1"/>
    <w:p w14:paraId="0C0AA159" w14:textId="4D6B8A77" w:rsidR="009B5D56" w:rsidRDefault="00A75C9D" w:rsidP="00A75C9D">
      <w:pPr>
        <w:rPr>
          <w:bCs/>
          <w:sz w:val="18"/>
          <w:szCs w:val="18"/>
        </w:rPr>
      </w:pPr>
      <w:r w:rsidRPr="00165073">
        <w:rPr>
          <w:b/>
          <w:noProof/>
        </w:rPr>
        <w:drawing>
          <wp:inline distT="0" distB="0" distL="0" distR="0" wp14:anchorId="4B983605" wp14:editId="03E4B098">
            <wp:extent cx="5814695" cy="2109691"/>
            <wp:effectExtent l="0" t="0" r="1905" b="0"/>
            <wp:docPr id="2049" name="Picture 1" descr="page3image29653840">
              <a:extLst xmlns:a="http://schemas.openxmlformats.org/drawingml/2006/main">
                <a:ext uri="{FF2B5EF4-FFF2-40B4-BE49-F238E27FC236}">
                  <a16:creationId xmlns:a16="http://schemas.microsoft.com/office/drawing/2014/main" id="{A46C26BF-E96D-FD90-A006-D013F6666CD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 name="Picture 1" descr="page3image29653840">
                      <a:extLst>
                        <a:ext uri="{FF2B5EF4-FFF2-40B4-BE49-F238E27FC236}">
                          <a16:creationId xmlns:a16="http://schemas.microsoft.com/office/drawing/2014/main" id="{A46C26BF-E96D-FD90-A006-D013F6666CDA}"/>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14695" cy="2109691"/>
                    </a:xfrm>
                    <a:prstGeom prst="rect">
                      <a:avLst/>
                    </a:prstGeom>
                    <a:noFill/>
                  </pic:spPr>
                </pic:pic>
              </a:graphicData>
            </a:graphic>
          </wp:inline>
        </w:drawing>
      </w:r>
      <w:r w:rsidRPr="00A75C9D">
        <w:rPr>
          <w:bCs/>
          <w:sz w:val="18"/>
          <w:szCs w:val="18"/>
        </w:rPr>
        <w:t xml:space="preserve"> </w:t>
      </w:r>
    </w:p>
    <w:p w14:paraId="40E1E0F4" w14:textId="77EB11B1" w:rsidR="009B5D56" w:rsidRPr="009B5D56" w:rsidRDefault="009B5D56" w:rsidP="00A75C9D">
      <w:pPr>
        <w:rPr>
          <w:b/>
          <w:sz w:val="18"/>
          <w:szCs w:val="18"/>
        </w:rPr>
      </w:pPr>
      <w:r w:rsidRPr="009B5D56">
        <w:rPr>
          <w:b/>
          <w:sz w:val="18"/>
          <w:szCs w:val="18"/>
        </w:rPr>
        <w:t>Figure 1: WISE Grant Governance Structure</w:t>
      </w:r>
    </w:p>
    <w:p w14:paraId="363E477A" w14:textId="77777777" w:rsidR="009B5D56" w:rsidRDefault="009B5D56" w:rsidP="00A75C9D">
      <w:pPr>
        <w:rPr>
          <w:bCs/>
        </w:rPr>
      </w:pPr>
    </w:p>
    <w:p w14:paraId="54B34C5E" w14:textId="25C2E542" w:rsidR="00A75C9D" w:rsidRDefault="00A75C9D" w:rsidP="00A75C9D">
      <w:pPr>
        <w:rPr>
          <w:bCs/>
        </w:rPr>
      </w:pPr>
      <w:r>
        <w:rPr>
          <w:bCs/>
        </w:rPr>
        <w:t>Over six months, and led by the Steering Group, the collaborative developed all the necessary tools and processes for running an open grant round. This is challenging enough for one organization, let alone seven, all with different needs, interests, set-ups and histories. With the help of a Social Enterprise Advisory Group (SEAG), the collaborative navigated their way through developing a two-stage application process (Expression of Interest and Full Application), and all the required materials required of this approach, as well as an assessment process that enabled partners to work together in reviewing and selecting successful WISE.</w:t>
      </w:r>
    </w:p>
    <w:p w14:paraId="7D85944E" w14:textId="77777777" w:rsidR="00A75C9D" w:rsidRDefault="00A75C9D" w:rsidP="00A75C9D">
      <w:pPr>
        <w:rPr>
          <w:bCs/>
        </w:rPr>
      </w:pPr>
    </w:p>
    <w:p w14:paraId="0897633C" w14:textId="77777777" w:rsidR="00A75C9D" w:rsidRDefault="00A75C9D" w:rsidP="00A75C9D">
      <w:pPr>
        <w:rPr>
          <w:bCs/>
        </w:rPr>
      </w:pPr>
      <w:r>
        <w:rPr>
          <w:bCs/>
        </w:rPr>
        <w:t xml:space="preserve">Despite its collaborative approach, partners identified an early need for one organization to ultimately hold the financial relationship with successful WISE. Lord Mayor’s Charitable Foundation (LMCF) stepped into the role, and through their DGR1 status, was able to receive funds from other partners in the collaborative via Giving Letters.  From June to October 2023, the collaborative – led by LMCF – publicly launched the grant round, received and collaboratively assessed EOIs, sought full applications from shortlisted applicants, and found ways to collectively review and select 14 WISE to receive full funding. Despite being a collaborative effort, the needs of each funding organization still had to be met – which meant making sure that a suitable mix of WISE was ultimately selected, representing enterprises from across different jurisdictions in Australia, working with different population groups, and in a range of industries, sectors and settings. </w:t>
      </w:r>
    </w:p>
    <w:p w14:paraId="32C6A1AE" w14:textId="77777777" w:rsidR="00A75C9D" w:rsidRDefault="00A75C9D" w:rsidP="00A75C9D">
      <w:pPr>
        <w:rPr>
          <w:bCs/>
        </w:rPr>
      </w:pPr>
    </w:p>
    <w:p w14:paraId="0935627C" w14:textId="69C449A9" w:rsidR="00A75C9D" w:rsidRDefault="00A75C9D" w:rsidP="00A75C9D">
      <w:pPr>
        <w:rPr>
          <w:bCs/>
        </w:rPr>
      </w:pPr>
      <w:r>
        <w:rPr>
          <w:bCs/>
        </w:rPr>
        <w:t>The 14 successful WISE were announced in late 2023 – just over a year since the very early discussions were had among philanthropic organisations. Funds are flowing to grant recipients, and will do so for two years, allowing them to get on with delivering positive employment outcomes for those that they work with.</w:t>
      </w:r>
    </w:p>
    <w:p w14:paraId="1319A621" w14:textId="77777777" w:rsidR="006B0F8E" w:rsidRDefault="006B0F8E" w:rsidP="00A75C9D">
      <w:pPr>
        <w:rPr>
          <w:bCs/>
        </w:rPr>
      </w:pPr>
    </w:p>
    <w:p w14:paraId="600FF374" w14:textId="3E3B49F6" w:rsidR="00A75C9D" w:rsidRDefault="00A75C9D" w:rsidP="00A75C9D">
      <w:pPr>
        <w:rPr>
          <w:bCs/>
        </w:rPr>
      </w:pPr>
      <w:r>
        <w:rPr>
          <w:bCs/>
        </w:rPr>
        <w:t>It’s been a great result, but a significant effort, and from many people. So</w:t>
      </w:r>
      <w:r w:rsidR="006B0F8E">
        <w:rPr>
          <w:bCs/>
        </w:rPr>
        <w:t>,</w:t>
      </w:r>
      <w:r>
        <w:rPr>
          <w:bCs/>
        </w:rPr>
        <w:t xml:space="preserve"> is </w:t>
      </w:r>
      <w:r w:rsidR="003C38B1">
        <w:rPr>
          <w:bCs/>
        </w:rPr>
        <w:t>the initiative</w:t>
      </w:r>
      <w:r>
        <w:rPr>
          <w:bCs/>
        </w:rPr>
        <w:t xml:space="preserve"> delivering what </w:t>
      </w:r>
      <w:r w:rsidR="003C38B1">
        <w:rPr>
          <w:bCs/>
        </w:rPr>
        <w:t>it was expected to?</w:t>
      </w:r>
      <w:r>
        <w:rPr>
          <w:bCs/>
        </w:rPr>
        <w:t xml:space="preserve"> And what </w:t>
      </w:r>
      <w:r w:rsidR="003C38B1">
        <w:rPr>
          <w:bCs/>
        </w:rPr>
        <w:t>might</w:t>
      </w:r>
      <w:r>
        <w:rPr>
          <w:bCs/>
        </w:rPr>
        <w:t xml:space="preserve"> </w:t>
      </w:r>
      <w:r w:rsidR="003C38B1">
        <w:rPr>
          <w:bCs/>
        </w:rPr>
        <w:t>be</w:t>
      </w:r>
      <w:r>
        <w:rPr>
          <w:bCs/>
        </w:rPr>
        <w:t xml:space="preserve"> learn</w:t>
      </w:r>
      <w:r w:rsidR="003C38B1">
        <w:rPr>
          <w:bCs/>
        </w:rPr>
        <w:t>ed</w:t>
      </w:r>
      <w:r>
        <w:rPr>
          <w:bCs/>
        </w:rPr>
        <w:t xml:space="preserve"> from this pilot phase?</w:t>
      </w:r>
    </w:p>
    <w:p w14:paraId="76ADD15F" w14:textId="46E7E143" w:rsidR="00A75C9D" w:rsidRPr="00BF1C1F" w:rsidRDefault="00A75C9D" w:rsidP="00A75C9D">
      <w:pPr>
        <w:pStyle w:val="Header2"/>
      </w:pPr>
      <w:r w:rsidRPr="00BF1C1F">
        <w:lastRenderedPageBreak/>
        <w:t>Results so far</w:t>
      </w:r>
    </w:p>
    <w:p w14:paraId="0546260C" w14:textId="60E29CCE" w:rsidR="00A75C9D" w:rsidRDefault="00A75C9D" w:rsidP="00A75C9D">
      <w:pPr>
        <w:rPr>
          <w:bCs/>
        </w:rPr>
      </w:pPr>
      <w:r>
        <w:rPr>
          <w:bCs/>
        </w:rPr>
        <w:t xml:space="preserve">Early in the process, the seven philanthropic organisations spent time discussing and identifying what they hoped to achieve from this collaborative effort. An overriding objective was to simplify and streamline access for WISE to philanthropic support, helping WISE to save time and energy in applying for funding. At the same time, collaborators were aiming to strengthen their relationships and networks with each other </w:t>
      </w:r>
      <w:r w:rsidR="00E330A9">
        <w:rPr>
          <w:bCs/>
        </w:rPr>
        <w:t>to</w:t>
      </w:r>
      <w:r>
        <w:rPr>
          <w:bCs/>
        </w:rPr>
        <w:t xml:space="preserve"> better support WISE in the future, to contribute new knowledge and a stronger evidence base on collective funding approaches for WISE, and to help attract further funding into the sector. </w:t>
      </w:r>
    </w:p>
    <w:p w14:paraId="6F2E497D" w14:textId="77777777" w:rsidR="00A75C9D" w:rsidRDefault="00A75C9D" w:rsidP="00A75C9D">
      <w:pPr>
        <w:rPr>
          <w:bCs/>
        </w:rPr>
      </w:pPr>
    </w:p>
    <w:p w14:paraId="155CAA3E" w14:textId="5CA1E4E6" w:rsidR="00A75C9D" w:rsidRDefault="0064372D" w:rsidP="00A75C9D">
      <w:pPr>
        <w:rPr>
          <w:bCs/>
          <w:lang w:val="en-AU"/>
        </w:rPr>
      </w:pPr>
      <w:r>
        <w:rPr>
          <w:bCs/>
          <w:lang w:val="en-AU"/>
        </w:rPr>
        <w:t xml:space="preserve">Through </w:t>
      </w:r>
      <w:r w:rsidR="001F06FE">
        <w:rPr>
          <w:bCs/>
          <w:lang w:val="en-AU"/>
        </w:rPr>
        <w:t>an</w:t>
      </w:r>
      <w:r>
        <w:rPr>
          <w:bCs/>
          <w:lang w:val="en-AU"/>
        </w:rPr>
        <w:t xml:space="preserve"> evaluation of the initiative</w:t>
      </w:r>
      <w:r w:rsidR="00A75C9D">
        <w:rPr>
          <w:bCs/>
          <w:lang w:val="en-AU"/>
        </w:rPr>
        <w:t xml:space="preserve">, </w:t>
      </w:r>
      <w:r w:rsidR="001F06FE">
        <w:rPr>
          <w:bCs/>
          <w:lang w:val="en-AU"/>
        </w:rPr>
        <w:t>insights are being gained into</w:t>
      </w:r>
      <w:r w:rsidR="00A75C9D">
        <w:rPr>
          <w:bCs/>
          <w:lang w:val="en-AU"/>
        </w:rPr>
        <w:t xml:space="preserve"> progress towards these goals, and what it takes to work effectively in collaboration to support WISE. Some key </w:t>
      </w:r>
      <w:r w:rsidR="001F06FE">
        <w:rPr>
          <w:bCs/>
          <w:lang w:val="en-AU"/>
        </w:rPr>
        <w:t>findings</w:t>
      </w:r>
      <w:r w:rsidR="00A75C9D">
        <w:rPr>
          <w:bCs/>
          <w:lang w:val="en-AU"/>
        </w:rPr>
        <w:t xml:space="preserve"> so far:</w:t>
      </w:r>
    </w:p>
    <w:p w14:paraId="3BC22902" w14:textId="4DA6ED78" w:rsidR="00A75C9D" w:rsidRPr="00A75C9D" w:rsidRDefault="00A75C9D" w:rsidP="00A75C9D">
      <w:pPr>
        <w:pStyle w:val="Bullet1"/>
        <w:rPr>
          <w:lang w:val="en-AU"/>
        </w:rPr>
      </w:pPr>
      <w:r>
        <w:t xml:space="preserve">The WISE Grant Round garnered much interest from WISE, with </w:t>
      </w:r>
      <w:r w:rsidRPr="00BF1C1F">
        <w:rPr>
          <w:b/>
          <w:bCs/>
        </w:rPr>
        <w:t>180</w:t>
      </w:r>
      <w:r>
        <w:t xml:space="preserve"> EOIs submitted from WISE in New South Wales, Queensland, Tasmania, South Australia, Victoria and Queensland. These enterprises work with </w:t>
      </w:r>
      <w:r w:rsidRPr="004027DA">
        <w:rPr>
          <w:b/>
          <w:bCs/>
        </w:rPr>
        <w:t>a variety of population groups</w:t>
      </w:r>
      <w:r w:rsidRPr="004027DA">
        <w:t xml:space="preserve">, with intersecting identities and needs, with the most common being young people (24%), people living with a disability (34%), and women experiencing disadvantage (13%). </w:t>
      </w:r>
      <w:r>
        <w:t>Nearly 30% of EOIs were from organisations working in regional areas across Australia.</w:t>
      </w:r>
    </w:p>
    <w:p w14:paraId="54CB51D4" w14:textId="6A099FDE" w:rsidR="00DB4789" w:rsidRPr="004B1586" w:rsidRDefault="00A75C9D" w:rsidP="00DB4789">
      <w:pPr>
        <w:pStyle w:val="Bullet1"/>
      </w:pPr>
      <w:r w:rsidRPr="004027DA">
        <w:t>75% of applicants agree</w:t>
      </w:r>
      <w:r>
        <w:t>d</w:t>
      </w:r>
      <w:r w:rsidRPr="004027DA">
        <w:t xml:space="preserve"> or strongly agree</w:t>
      </w:r>
      <w:r>
        <w:t xml:space="preserve">d </w:t>
      </w:r>
      <w:r w:rsidRPr="004027DA">
        <w:t xml:space="preserve">that the application process </w:t>
      </w:r>
      <w:r>
        <w:t xml:space="preserve">through the collaborative grant round </w:t>
      </w:r>
      <w:r w:rsidRPr="004027DA">
        <w:t xml:space="preserve">was </w:t>
      </w:r>
      <w:r w:rsidRPr="004027DA">
        <w:rPr>
          <w:b/>
        </w:rPr>
        <w:t>streamlined and simple</w:t>
      </w:r>
      <w:r>
        <w:rPr>
          <w:b/>
        </w:rPr>
        <w:t xml:space="preserve">. </w:t>
      </w:r>
      <w:r>
        <w:rPr>
          <w:bCs/>
        </w:rPr>
        <w:t>WISE applicants broadly valued the two-step application process, the supporting documentation, webinar and assistance provided by the collaborators in preparing EOIs and applications, and the self-assessed Social Enterprise Classification Matrix.</w:t>
      </w:r>
    </w:p>
    <w:p w14:paraId="64C23AA3" w14:textId="77777777" w:rsidR="00DB4789" w:rsidRDefault="00DB4789" w:rsidP="00DB4789">
      <w:pPr>
        <w:spacing w:before="120" w:line="264" w:lineRule="auto"/>
        <w:ind w:left="720"/>
        <w:rPr>
          <w:i/>
          <w:color w:val="3C3C3C"/>
        </w:rPr>
      </w:pPr>
    </w:p>
    <w:p w14:paraId="12DB907A" w14:textId="4C689FAB" w:rsidR="00A75C9D" w:rsidRDefault="00A75C9D" w:rsidP="00DB4789">
      <w:pPr>
        <w:spacing w:before="120" w:line="264" w:lineRule="auto"/>
        <w:ind w:left="720"/>
        <w:rPr>
          <w:i/>
          <w:color w:val="3C3C3C"/>
        </w:rPr>
      </w:pPr>
      <w:r w:rsidRPr="00DB4789">
        <w:rPr>
          <w:i/>
          <w:color w:val="3C3C3C"/>
        </w:rPr>
        <w:t>“The information about the grant, including eligibility criteria, application process, and selection criteria, was clearly presented. Key details were easily identifiable. The supporting documentation provided a good understanding of the grant's purpose and how it aligns with the goals of WISE organizations. The website offered ample resources and FAQs to address potential questions.” - EOI Applicant</w:t>
      </w:r>
    </w:p>
    <w:p w14:paraId="485B3569" w14:textId="77777777" w:rsidR="00DB4789" w:rsidRPr="00DB4789" w:rsidRDefault="00DB4789" w:rsidP="00DB4789">
      <w:pPr>
        <w:spacing w:before="120" w:line="264" w:lineRule="auto"/>
        <w:ind w:left="720"/>
        <w:rPr>
          <w:i/>
          <w:color w:val="3C3C3C"/>
        </w:rPr>
      </w:pPr>
    </w:p>
    <w:p w14:paraId="6C84F5F8" w14:textId="77777777" w:rsidR="00A75C9D" w:rsidRDefault="00A75C9D" w:rsidP="00A75C9D">
      <w:pPr>
        <w:pStyle w:val="Bullet1"/>
      </w:pPr>
      <w:r>
        <w:t xml:space="preserve">Equally, Partner Organisations are seeing value in their work together. Partners have built </w:t>
      </w:r>
      <w:r w:rsidRPr="00BF1C1F">
        <w:rPr>
          <w:b/>
        </w:rPr>
        <w:t>new relationships</w:t>
      </w:r>
      <w:r>
        <w:t xml:space="preserve"> with each other, as well as </w:t>
      </w:r>
      <w:r w:rsidRPr="00BF1C1F">
        <w:rPr>
          <w:b/>
        </w:rPr>
        <w:t>strengthened existing</w:t>
      </w:r>
      <w:r>
        <w:t xml:space="preserve"> ones; there is a felt sense of being </w:t>
      </w:r>
      <w:r w:rsidRPr="00BF1C1F">
        <w:rPr>
          <w:b/>
        </w:rPr>
        <w:t>part of a new community</w:t>
      </w:r>
      <w:r>
        <w:t xml:space="preserve"> that Partners will be able to draw from in the future; and confidence that they have </w:t>
      </w:r>
      <w:r w:rsidRPr="00BF1C1F">
        <w:rPr>
          <w:b/>
        </w:rPr>
        <w:t>developed a ‘blueprint’</w:t>
      </w:r>
      <w:r>
        <w:t xml:space="preserve"> for how to work collaboratively in supporting WISE in Australia – including a powerful legal instrument in the MOU developed with </w:t>
      </w:r>
      <w:proofErr w:type="spellStart"/>
      <w:r>
        <w:t>MinterEllison</w:t>
      </w:r>
      <w:proofErr w:type="spellEnd"/>
      <w:r>
        <w:t xml:space="preserve">. </w:t>
      </w:r>
    </w:p>
    <w:p w14:paraId="0319A3F1" w14:textId="77777777" w:rsidR="00A75C9D" w:rsidRPr="007100FC" w:rsidRDefault="00A75C9D" w:rsidP="007100FC">
      <w:pPr>
        <w:pStyle w:val="Emphasis-Italic"/>
        <w:ind w:left="360"/>
        <w:rPr>
          <w:color w:val="3F3F3F" w:themeColor="text1"/>
        </w:rPr>
      </w:pPr>
      <w:r w:rsidRPr="007100FC">
        <w:rPr>
          <w:color w:val="3F3F3F" w:themeColor="text1"/>
        </w:rPr>
        <w:t>“All of these people met fortnightly. You’re building much deeper relationships. And ultimately that leads to greater relationships between organisations. You feel much more comfortable in picking up the phone and saying “we’re working on this” etc.  There are times that we were meeting every week – regularly seeing each other, talking to each other etc. I was new, and it gave me a good understanding. The regular interactions helped to strengthen relationships” - Partner Organisation</w:t>
      </w:r>
    </w:p>
    <w:p w14:paraId="52590C2F" w14:textId="77777777" w:rsidR="005A0FBA" w:rsidRPr="003348ED" w:rsidRDefault="005A0FBA" w:rsidP="003348ED"/>
    <w:p w14:paraId="482F9AC7" w14:textId="77777777" w:rsidR="00A75C9D" w:rsidRDefault="00A75C9D" w:rsidP="00A75C9D">
      <w:pPr>
        <w:rPr>
          <w:bCs/>
        </w:rPr>
      </w:pPr>
      <w:bookmarkStart w:id="2" w:name="_Toc2420511"/>
      <w:r>
        <w:rPr>
          <w:bCs/>
        </w:rPr>
        <w:t xml:space="preserve">These are encouraging results, and suggest that the WISE Open Grant Round is a valued, and valuable offering for WISE and Partner Organisations in Australia. </w:t>
      </w:r>
    </w:p>
    <w:p w14:paraId="65519883" w14:textId="77777777" w:rsidR="00A75C9D" w:rsidRDefault="00A75C9D" w:rsidP="00A75C9D">
      <w:pPr>
        <w:rPr>
          <w:bCs/>
        </w:rPr>
      </w:pPr>
    </w:p>
    <w:p w14:paraId="0654B9BA" w14:textId="67410064" w:rsidR="00A75C9D" w:rsidRDefault="00A75C9D" w:rsidP="00A75C9D">
      <w:pPr>
        <w:pStyle w:val="Header2"/>
      </w:pPr>
      <w:r w:rsidRPr="008E4342">
        <w:t>Challenges</w:t>
      </w:r>
      <w:r>
        <w:t xml:space="preserve"> encountered</w:t>
      </w:r>
    </w:p>
    <w:p w14:paraId="7B65C9C4" w14:textId="532F7609" w:rsidR="00A75C9D" w:rsidRDefault="00A75C9D" w:rsidP="00A75C9D">
      <w:pPr>
        <w:rPr>
          <w:bCs/>
        </w:rPr>
      </w:pPr>
      <w:r>
        <w:rPr>
          <w:bCs/>
        </w:rPr>
        <w:t xml:space="preserve">While these early results suggest that the collaborative approach taken to design and deliver the WISE Grant Round has been positive, there have been challenges along the way – challenges </w:t>
      </w:r>
      <w:r w:rsidR="00AB54ED">
        <w:rPr>
          <w:bCs/>
        </w:rPr>
        <w:t>that</w:t>
      </w:r>
      <w:r>
        <w:rPr>
          <w:bCs/>
        </w:rPr>
        <w:t xml:space="preserve"> </w:t>
      </w:r>
      <w:proofErr w:type="gramStart"/>
      <w:r>
        <w:rPr>
          <w:bCs/>
        </w:rPr>
        <w:t>are helpful in understanding</w:t>
      </w:r>
      <w:proofErr w:type="gramEnd"/>
      <w:r>
        <w:rPr>
          <w:bCs/>
        </w:rPr>
        <w:t xml:space="preserve"> how an initiative such as this could be improved into the future. After nearly two years of working in this way, three key take aways are clear:</w:t>
      </w:r>
    </w:p>
    <w:p w14:paraId="0AFA630F" w14:textId="77777777" w:rsidR="00A75C9D" w:rsidRDefault="00A75C9D" w:rsidP="00A75C9D">
      <w:pPr>
        <w:rPr>
          <w:bCs/>
        </w:rPr>
      </w:pPr>
    </w:p>
    <w:p w14:paraId="42B6FDDB" w14:textId="68450C25" w:rsidR="00A75C9D" w:rsidRPr="00BF1C1F" w:rsidRDefault="00A75C9D" w:rsidP="00A75C9D">
      <w:pPr>
        <w:pStyle w:val="ListParagraph"/>
        <w:numPr>
          <w:ilvl w:val="0"/>
          <w:numId w:val="17"/>
        </w:numPr>
        <w:spacing w:line="276" w:lineRule="auto"/>
        <w:rPr>
          <w:bCs/>
        </w:rPr>
      </w:pPr>
      <w:r w:rsidRPr="00BF1C1F">
        <w:rPr>
          <w:b/>
        </w:rPr>
        <w:lastRenderedPageBreak/>
        <w:t xml:space="preserve">Allocate more time (and money) than might </w:t>
      </w:r>
      <w:r w:rsidR="00AB54ED">
        <w:rPr>
          <w:b/>
        </w:rPr>
        <w:t xml:space="preserve">be </w:t>
      </w:r>
      <w:r w:rsidRPr="00BF1C1F">
        <w:rPr>
          <w:b/>
        </w:rPr>
        <w:t>expect</w:t>
      </w:r>
      <w:r w:rsidR="00AB54ED">
        <w:rPr>
          <w:b/>
        </w:rPr>
        <w:t>ed</w:t>
      </w:r>
      <w:r w:rsidRPr="00BF1C1F">
        <w:rPr>
          <w:bCs/>
        </w:rPr>
        <w:t xml:space="preserve">: the </w:t>
      </w:r>
      <w:proofErr w:type="gramStart"/>
      <w:r w:rsidRPr="00BF1C1F">
        <w:rPr>
          <w:bCs/>
        </w:rPr>
        <w:t>old adage</w:t>
      </w:r>
      <w:proofErr w:type="gramEnd"/>
      <w:r w:rsidRPr="00BF1C1F">
        <w:rPr>
          <w:bCs/>
        </w:rPr>
        <w:t xml:space="preserve"> – “if you want to go fast, go alone: if you want to go </w:t>
      </w:r>
      <w:r>
        <w:rPr>
          <w:bCs/>
        </w:rPr>
        <w:t>far</w:t>
      </w:r>
      <w:r w:rsidRPr="00BF1C1F">
        <w:rPr>
          <w:bCs/>
        </w:rPr>
        <w:t xml:space="preserve">, go together” – is true for all collaborative </w:t>
      </w:r>
      <w:r w:rsidR="007A66CB" w:rsidRPr="00BF1C1F">
        <w:rPr>
          <w:bCs/>
        </w:rPr>
        <w:t>endeavours</w:t>
      </w:r>
      <w:r w:rsidRPr="00BF1C1F">
        <w:rPr>
          <w:bCs/>
        </w:rPr>
        <w:t xml:space="preserve">, and hints at the effort required to bring together diverse organisations in a collaborative undertaking. Finding shared alignment, co-creating a legally </w:t>
      </w:r>
      <w:r w:rsidR="00AB54ED">
        <w:rPr>
          <w:bCs/>
        </w:rPr>
        <w:t>sound</w:t>
      </w:r>
      <w:r w:rsidRPr="00BF1C1F">
        <w:rPr>
          <w:bCs/>
        </w:rPr>
        <w:t xml:space="preserve"> agreement, co-developing grant materials, and collaboratively reviewing and selecting applications all took time and effort, and for some</w:t>
      </w:r>
      <w:r w:rsidR="003D373A">
        <w:rPr>
          <w:bCs/>
        </w:rPr>
        <w:t xml:space="preserve"> Partner Organisations</w:t>
      </w:r>
      <w:r w:rsidRPr="00BF1C1F">
        <w:rPr>
          <w:bCs/>
        </w:rPr>
        <w:t xml:space="preserve">, </w:t>
      </w:r>
      <w:r w:rsidR="003D373A">
        <w:rPr>
          <w:bCs/>
        </w:rPr>
        <w:t xml:space="preserve">was </w:t>
      </w:r>
      <w:r w:rsidRPr="00BF1C1F">
        <w:rPr>
          <w:bCs/>
        </w:rPr>
        <w:t xml:space="preserve">more than originally anticipated. This included efforts by those involved to navigate shared spaces with other funding organizations, as well as internal work within their own organisations to bring them along in a collaborative journey. </w:t>
      </w:r>
    </w:p>
    <w:p w14:paraId="0135985F" w14:textId="77777777" w:rsidR="00A75C9D" w:rsidRDefault="00A75C9D" w:rsidP="00A75C9D">
      <w:pPr>
        <w:rPr>
          <w:b/>
        </w:rPr>
      </w:pPr>
    </w:p>
    <w:p w14:paraId="002337E0" w14:textId="77777777" w:rsidR="00A75C9D" w:rsidRPr="00C10AB3" w:rsidRDefault="00A75C9D" w:rsidP="00A75C9D">
      <w:pPr>
        <w:spacing w:before="120" w:line="264" w:lineRule="auto"/>
        <w:ind w:left="720"/>
        <w:rPr>
          <w:i/>
          <w:color w:val="3C3C3C"/>
        </w:rPr>
      </w:pPr>
      <w:r w:rsidRPr="00C10AB3">
        <w:rPr>
          <w:i/>
          <w:color w:val="3C3C3C"/>
        </w:rPr>
        <w:t xml:space="preserve">“The experience from the beginning was – it was hard because we were trying to come together to bring our own internal processes, streamlined into one process. We all do things differently. Have different appetites. We’re different sizes.” </w:t>
      </w:r>
      <w:r>
        <w:rPr>
          <w:i/>
          <w:color w:val="3C3C3C"/>
        </w:rPr>
        <w:t xml:space="preserve">- </w:t>
      </w:r>
      <w:r w:rsidRPr="00C10AB3">
        <w:rPr>
          <w:i/>
          <w:color w:val="3C3C3C"/>
        </w:rPr>
        <w:t>Partner Organisation</w:t>
      </w:r>
    </w:p>
    <w:p w14:paraId="62234B2A" w14:textId="77777777" w:rsidR="00A75C9D" w:rsidRDefault="00A75C9D" w:rsidP="00A75C9D">
      <w:pPr>
        <w:rPr>
          <w:b/>
        </w:rPr>
      </w:pPr>
    </w:p>
    <w:p w14:paraId="7F0777D6" w14:textId="597C8C2B" w:rsidR="00A75C9D" w:rsidRPr="00BF1C1F" w:rsidRDefault="00A75C9D" w:rsidP="0052091C">
      <w:pPr>
        <w:ind w:left="360"/>
        <w:rPr>
          <w:bCs/>
        </w:rPr>
      </w:pPr>
      <w:r>
        <w:rPr>
          <w:bCs/>
        </w:rPr>
        <w:t>For LMCF, the additional role as Host Organisation came with added responsibilities, including for dedicated personnel</w:t>
      </w:r>
      <w:r w:rsidR="0046025C">
        <w:rPr>
          <w:bCs/>
        </w:rPr>
        <w:t xml:space="preserve"> and technical systems</w:t>
      </w:r>
      <w:r>
        <w:rPr>
          <w:bCs/>
        </w:rPr>
        <w:t xml:space="preserve"> to deliver and run the process. Finding ways to meet these needs was an important step, and one that early identification can help in addressing. </w:t>
      </w:r>
    </w:p>
    <w:p w14:paraId="5C8D3E8F" w14:textId="77777777" w:rsidR="00A75C9D" w:rsidRDefault="00A75C9D" w:rsidP="00A75C9D">
      <w:pPr>
        <w:rPr>
          <w:b/>
        </w:rPr>
      </w:pPr>
    </w:p>
    <w:p w14:paraId="31A5CA7E" w14:textId="25C556B2" w:rsidR="00A75C9D" w:rsidRPr="00BF1C1F" w:rsidRDefault="00A75C9D" w:rsidP="00A75C9D">
      <w:pPr>
        <w:pStyle w:val="ListParagraph"/>
        <w:numPr>
          <w:ilvl w:val="0"/>
          <w:numId w:val="17"/>
        </w:numPr>
        <w:spacing w:line="276" w:lineRule="auto"/>
        <w:rPr>
          <w:bCs/>
        </w:rPr>
      </w:pPr>
      <w:r w:rsidRPr="00BF1C1F">
        <w:rPr>
          <w:b/>
        </w:rPr>
        <w:t xml:space="preserve">Navigating individual and collective needs: </w:t>
      </w:r>
      <w:r w:rsidRPr="00BF1C1F">
        <w:rPr>
          <w:bCs/>
        </w:rPr>
        <w:t xml:space="preserve">similarly, while the broad vision and goals for the WISE Grant Round had the support and backing of all </w:t>
      </w:r>
      <w:r w:rsidR="00F522E2">
        <w:rPr>
          <w:bCs/>
        </w:rPr>
        <w:t>P</w:t>
      </w:r>
      <w:r w:rsidRPr="00BF1C1F">
        <w:rPr>
          <w:bCs/>
        </w:rPr>
        <w:t xml:space="preserve">artner </w:t>
      </w:r>
      <w:r w:rsidR="00F522E2">
        <w:rPr>
          <w:bCs/>
        </w:rPr>
        <w:t>O</w:t>
      </w:r>
      <w:r w:rsidRPr="00BF1C1F">
        <w:rPr>
          <w:bCs/>
        </w:rPr>
        <w:t xml:space="preserve">rganisations, there was still a need to ensure that the individual requirements of all </w:t>
      </w:r>
      <w:r w:rsidR="00F522E2">
        <w:rPr>
          <w:bCs/>
        </w:rPr>
        <w:t>P</w:t>
      </w:r>
      <w:r w:rsidRPr="00BF1C1F">
        <w:rPr>
          <w:bCs/>
        </w:rPr>
        <w:t xml:space="preserve">artners could be met through the collaboration. With different areas of focus, and different funding mandates, there was a challenge in assembling a selection of WISE that collectively matched the funding foci of partner organizations. This involved deep and open discussions among partners, a willingness to adapt and change, and flexibility in what it meant to commit funding via a collaborative mechanism – as opposed to a direct relationship with a grant recipient. </w:t>
      </w:r>
    </w:p>
    <w:p w14:paraId="405615BF" w14:textId="77777777" w:rsidR="00A75C9D" w:rsidRDefault="00A75C9D" w:rsidP="00A75C9D">
      <w:pPr>
        <w:rPr>
          <w:b/>
        </w:rPr>
      </w:pPr>
    </w:p>
    <w:p w14:paraId="418D0F49" w14:textId="77777777" w:rsidR="00A75C9D" w:rsidRPr="007B1732" w:rsidRDefault="00A75C9D" w:rsidP="00A75C9D">
      <w:pPr>
        <w:spacing w:before="120" w:line="264" w:lineRule="auto"/>
        <w:ind w:left="720"/>
        <w:rPr>
          <w:i/>
          <w:color w:val="3C3C3C"/>
        </w:rPr>
      </w:pPr>
      <w:r w:rsidRPr="003A7A67">
        <w:rPr>
          <w:i/>
          <w:color w:val="3C3C3C"/>
        </w:rPr>
        <w:t>“We had a fair idea of each of their priorities</w:t>
      </w:r>
      <w:proofErr w:type="gramStart"/>
      <w:r w:rsidRPr="007B1732">
        <w:rPr>
          <w:i/>
          <w:color w:val="3C3C3C"/>
        </w:rPr>
        <w:t>….</w:t>
      </w:r>
      <w:r w:rsidRPr="003A7A67">
        <w:rPr>
          <w:i/>
          <w:color w:val="3C3C3C"/>
        </w:rPr>
        <w:t>Different</w:t>
      </w:r>
      <w:proofErr w:type="gramEnd"/>
      <w:r w:rsidRPr="003A7A67">
        <w:rPr>
          <w:i/>
          <w:color w:val="3C3C3C"/>
        </w:rPr>
        <w:t xml:space="preserve"> partners had different requirements and priorities. We factored that in well to our decision matrix and the questions we asked in the EOI.”</w:t>
      </w:r>
      <w:r w:rsidRPr="007B1732">
        <w:rPr>
          <w:i/>
          <w:color w:val="3C3C3C"/>
        </w:rPr>
        <w:t xml:space="preserve"> - </w:t>
      </w:r>
      <w:r w:rsidRPr="003A7A67">
        <w:rPr>
          <w:i/>
          <w:color w:val="3C3C3C"/>
        </w:rPr>
        <w:t>Partner Organisation</w:t>
      </w:r>
      <w:r w:rsidRPr="007B1732">
        <w:rPr>
          <w:i/>
          <w:color w:val="3C3C3C"/>
        </w:rPr>
        <w:t xml:space="preserve"> </w:t>
      </w:r>
    </w:p>
    <w:p w14:paraId="5B90479F" w14:textId="77777777" w:rsidR="00A75C9D" w:rsidRDefault="00A75C9D" w:rsidP="00A75C9D">
      <w:pPr>
        <w:rPr>
          <w:b/>
        </w:rPr>
      </w:pPr>
    </w:p>
    <w:p w14:paraId="49189260" w14:textId="772A0F38" w:rsidR="00A75C9D" w:rsidRPr="00BF1C1F" w:rsidRDefault="00A75C9D" w:rsidP="00A75C9D">
      <w:pPr>
        <w:pStyle w:val="ListParagraph"/>
        <w:numPr>
          <w:ilvl w:val="0"/>
          <w:numId w:val="17"/>
        </w:numPr>
        <w:spacing w:line="276" w:lineRule="auto"/>
        <w:rPr>
          <w:bCs/>
        </w:rPr>
      </w:pPr>
      <w:r w:rsidRPr="00BF1C1F">
        <w:rPr>
          <w:b/>
        </w:rPr>
        <w:t xml:space="preserve">Being responsive and transparent for </w:t>
      </w:r>
      <w:r w:rsidR="00A1521E">
        <w:rPr>
          <w:b/>
        </w:rPr>
        <w:t>the WISE</w:t>
      </w:r>
      <w:r w:rsidRPr="00BF1C1F">
        <w:rPr>
          <w:b/>
        </w:rPr>
        <w:t xml:space="preserve"> sector: </w:t>
      </w:r>
      <w:r w:rsidRPr="00BF1C1F">
        <w:rPr>
          <w:bCs/>
        </w:rPr>
        <w:t xml:space="preserve">the WISE Grant Round was intended to streamline access to philanthropic funding for WISE in Australia. While there is good feedback from WISE that this has been achieved, there remain improvements in how such a mechanism can support WISE, including those who may not have been successful in this first round of funding. Applicants noted challenges in receiving feedback in their applications, with many unsure as to why they were unsuccessful or how their applications could be strengthened in the future. </w:t>
      </w:r>
    </w:p>
    <w:p w14:paraId="4EB45121" w14:textId="77777777" w:rsidR="00A75C9D" w:rsidRDefault="00A75C9D" w:rsidP="00A75C9D">
      <w:pPr>
        <w:rPr>
          <w:bCs/>
        </w:rPr>
      </w:pPr>
    </w:p>
    <w:p w14:paraId="76993A2C" w14:textId="77777777" w:rsidR="00A75C9D" w:rsidRPr="003A7A67" w:rsidRDefault="00A75C9D" w:rsidP="00A75C9D">
      <w:pPr>
        <w:spacing w:before="120" w:line="264" w:lineRule="auto"/>
        <w:ind w:left="720"/>
        <w:rPr>
          <w:i/>
          <w:color w:val="3C3C3C"/>
        </w:rPr>
      </w:pPr>
      <w:r w:rsidRPr="003A7A67">
        <w:rPr>
          <w:i/>
          <w:color w:val="3C3C3C"/>
        </w:rPr>
        <w:t xml:space="preserve">“It would be very useful for feedback to be provided for unsuccessful applications. It takes </w:t>
      </w:r>
      <w:proofErr w:type="spellStart"/>
      <w:r w:rsidRPr="003A7A67">
        <w:rPr>
          <w:i/>
          <w:color w:val="3C3C3C"/>
        </w:rPr>
        <w:t>nfps</w:t>
      </w:r>
      <w:proofErr w:type="spellEnd"/>
      <w:r w:rsidRPr="003A7A67">
        <w:rPr>
          <w:i/>
          <w:color w:val="3C3C3C"/>
        </w:rPr>
        <w:t xml:space="preserve"> a lot of time to write applications and the feedback is vital for the ensuring stronger applications and/or better choices about where to put efforts.”</w:t>
      </w:r>
      <w:r w:rsidRPr="007B1732">
        <w:rPr>
          <w:i/>
          <w:color w:val="3C3C3C"/>
        </w:rPr>
        <w:t xml:space="preserve"> - Grant Applicant</w:t>
      </w:r>
    </w:p>
    <w:p w14:paraId="6F59AC5B" w14:textId="77777777" w:rsidR="00A75C9D" w:rsidRDefault="00A75C9D" w:rsidP="00A75C9D">
      <w:pPr>
        <w:rPr>
          <w:bCs/>
        </w:rPr>
      </w:pPr>
    </w:p>
    <w:p w14:paraId="5E36215B" w14:textId="0A9018A0" w:rsidR="00A75C9D" w:rsidRDefault="00A75C9D" w:rsidP="0052091C">
      <w:pPr>
        <w:rPr>
          <w:bCs/>
        </w:rPr>
      </w:pPr>
      <w:r>
        <w:rPr>
          <w:bCs/>
        </w:rPr>
        <w:t xml:space="preserve">This is an important point: how can </w:t>
      </w:r>
      <w:r w:rsidR="00A1521E">
        <w:rPr>
          <w:bCs/>
        </w:rPr>
        <w:t>Partner Organisations working in a collaborative provide feedback that is</w:t>
      </w:r>
      <w:r>
        <w:rPr>
          <w:bCs/>
        </w:rPr>
        <w:t xml:space="preserve"> valued, timely, and constructive</w:t>
      </w:r>
      <w:r w:rsidR="00A1521E">
        <w:rPr>
          <w:bCs/>
        </w:rPr>
        <w:t xml:space="preserve">, and that </w:t>
      </w:r>
      <w:r>
        <w:rPr>
          <w:bCs/>
        </w:rPr>
        <w:t>improve</w:t>
      </w:r>
      <w:r w:rsidR="00A1521E">
        <w:rPr>
          <w:bCs/>
        </w:rPr>
        <w:t>s</w:t>
      </w:r>
      <w:r>
        <w:rPr>
          <w:bCs/>
        </w:rPr>
        <w:t xml:space="preserve"> </w:t>
      </w:r>
      <w:r w:rsidR="00A1521E">
        <w:rPr>
          <w:bCs/>
        </w:rPr>
        <w:t>the</w:t>
      </w:r>
      <w:r>
        <w:rPr>
          <w:bCs/>
        </w:rPr>
        <w:t xml:space="preserve"> chances of </w:t>
      </w:r>
      <w:r w:rsidR="00A1521E">
        <w:rPr>
          <w:bCs/>
        </w:rPr>
        <w:t xml:space="preserve">WISE applicants in </w:t>
      </w:r>
      <w:r>
        <w:rPr>
          <w:bCs/>
        </w:rPr>
        <w:t xml:space="preserve">securing funding through this mechanism and others? There is power in the depth that a collaborative provides, and being able to distribute these activities among many hands.  Finding ways that </w:t>
      </w:r>
      <w:r w:rsidR="00A1521E">
        <w:rPr>
          <w:bCs/>
        </w:rPr>
        <w:t>the collaborative</w:t>
      </w:r>
      <w:r>
        <w:rPr>
          <w:bCs/>
        </w:rPr>
        <w:t xml:space="preserve"> can better connect and support WISE through all stages of a competitive grant process, is important work for </w:t>
      </w:r>
      <w:r w:rsidR="00263B50">
        <w:rPr>
          <w:bCs/>
        </w:rPr>
        <w:t xml:space="preserve">Partner Organisations as they </w:t>
      </w:r>
      <w:r>
        <w:rPr>
          <w:bCs/>
        </w:rPr>
        <w:t xml:space="preserve">look to the future. </w:t>
      </w:r>
    </w:p>
    <w:p w14:paraId="5DAA9B77" w14:textId="77777777" w:rsidR="00A75C9D" w:rsidRDefault="00A75C9D" w:rsidP="00A75C9D">
      <w:pPr>
        <w:rPr>
          <w:bCs/>
        </w:rPr>
      </w:pPr>
    </w:p>
    <w:p w14:paraId="751B0449" w14:textId="77777777" w:rsidR="00A75C9D" w:rsidRPr="00104D05" w:rsidRDefault="00A75C9D" w:rsidP="00A75C9D">
      <w:pPr>
        <w:pStyle w:val="Header2"/>
      </w:pPr>
      <w:r>
        <w:lastRenderedPageBreak/>
        <w:t>Looking ahead</w:t>
      </w:r>
    </w:p>
    <w:p w14:paraId="28805F7B" w14:textId="26890C19" w:rsidR="00A75C9D" w:rsidRDefault="00A75C9D" w:rsidP="00A75C9D">
      <w:pPr>
        <w:rPr>
          <w:bCs/>
        </w:rPr>
      </w:pPr>
      <w:r>
        <w:rPr>
          <w:bCs/>
        </w:rPr>
        <w:t xml:space="preserve">This pilot collaboration has helped surface important insights into what it takes to bring together a diverse group of philanthropic organisations to better support WISE in Australia. Through this pilot, </w:t>
      </w:r>
      <w:r w:rsidR="00110C91">
        <w:rPr>
          <w:bCs/>
        </w:rPr>
        <w:t>Partner Organisations are</w:t>
      </w:r>
      <w:r>
        <w:rPr>
          <w:bCs/>
        </w:rPr>
        <w:t xml:space="preserve"> learning about how to better align organizational systems and processes, the resources required for good collaboration, and how to navigate difference in ways that are constructive for the sector. As </w:t>
      </w:r>
      <w:r w:rsidR="00110C91">
        <w:rPr>
          <w:bCs/>
        </w:rPr>
        <w:t>the collaborative</w:t>
      </w:r>
      <w:r>
        <w:rPr>
          <w:bCs/>
        </w:rPr>
        <w:t xml:space="preserve"> look</w:t>
      </w:r>
      <w:r w:rsidR="00110C91">
        <w:rPr>
          <w:bCs/>
        </w:rPr>
        <w:t>s</w:t>
      </w:r>
      <w:r>
        <w:rPr>
          <w:bCs/>
        </w:rPr>
        <w:t xml:space="preserve"> to the future, </w:t>
      </w:r>
      <w:r w:rsidR="00110C91">
        <w:rPr>
          <w:bCs/>
        </w:rPr>
        <w:t>there are</w:t>
      </w:r>
      <w:r>
        <w:rPr>
          <w:bCs/>
        </w:rPr>
        <w:t xml:space="preserve"> some fundamental principles for shaping good funder-funder collaborations</w:t>
      </w:r>
      <w:r w:rsidR="00110C91">
        <w:rPr>
          <w:bCs/>
        </w:rPr>
        <w:t xml:space="preserve"> that are emerging from this work</w:t>
      </w:r>
      <w:r>
        <w:rPr>
          <w:bCs/>
        </w:rPr>
        <w:t>:</w:t>
      </w:r>
    </w:p>
    <w:p w14:paraId="5FDBA801" w14:textId="77777777" w:rsidR="00A75C9D" w:rsidRDefault="00A75C9D" w:rsidP="00A75C9D">
      <w:pPr>
        <w:rPr>
          <w:bCs/>
        </w:rPr>
      </w:pPr>
    </w:p>
    <w:p w14:paraId="08C922A8" w14:textId="77777777" w:rsidR="00A75C9D" w:rsidRDefault="00A75C9D" w:rsidP="0052091C">
      <w:pPr>
        <w:pStyle w:val="Bullet1"/>
      </w:pPr>
      <w:r w:rsidRPr="00BF1C1F">
        <w:rPr>
          <w:b/>
        </w:rPr>
        <w:t>Create transparent processes</w:t>
      </w:r>
      <w:r>
        <w:t xml:space="preserve"> for all involved: for partner organisations, and those applying for funding.</w:t>
      </w:r>
    </w:p>
    <w:p w14:paraId="274336EA" w14:textId="43F8B97F" w:rsidR="00A75C9D" w:rsidRDefault="00A75C9D" w:rsidP="0052091C">
      <w:pPr>
        <w:pStyle w:val="Bullet1"/>
      </w:pPr>
      <w:r w:rsidRPr="00BF1C1F">
        <w:rPr>
          <w:b/>
        </w:rPr>
        <w:t>Approach collaboration in a spirit of mutual respect, seeking to understand, and an openness to new ideas</w:t>
      </w:r>
      <w:r>
        <w:t xml:space="preserve">: </w:t>
      </w:r>
      <w:r w:rsidR="00D61E7C">
        <w:t>strength comes from working together, and being open, interested and curious about those involved in a partnership approach</w:t>
      </w:r>
      <w:r>
        <w:t>.</w:t>
      </w:r>
    </w:p>
    <w:p w14:paraId="589E651B" w14:textId="116BD10D" w:rsidR="00A75C9D" w:rsidRDefault="00A75C9D" w:rsidP="0052091C">
      <w:pPr>
        <w:pStyle w:val="Bullet1"/>
      </w:pPr>
      <w:r w:rsidRPr="00BF1C1F">
        <w:rPr>
          <w:b/>
        </w:rPr>
        <w:t>Be clear about roles, responsibilities, risks and rewards</w:t>
      </w:r>
      <w:r>
        <w:t xml:space="preserve">: </w:t>
      </w:r>
      <w:r w:rsidR="00D61E7C">
        <w:t xml:space="preserve">wherever possible, </w:t>
      </w:r>
      <w:r>
        <w:t>bring clarity and transparency to who is doing what, when and why, and revisit this throughout all stages of a collaborative process</w:t>
      </w:r>
      <w:r w:rsidR="00D61E7C">
        <w:t xml:space="preserve"> to ensure all partners have a shared understanding. </w:t>
      </w:r>
    </w:p>
    <w:p w14:paraId="4F999C31" w14:textId="6DEA378F" w:rsidR="00A75C9D" w:rsidRDefault="00A75C9D" w:rsidP="0052091C">
      <w:pPr>
        <w:pStyle w:val="Bullet1"/>
      </w:pPr>
      <w:r w:rsidRPr="00BF1C1F">
        <w:rPr>
          <w:b/>
        </w:rPr>
        <w:t>Have the hard conversations, and challenge assumptions</w:t>
      </w:r>
      <w:r>
        <w:t xml:space="preserve">: </w:t>
      </w:r>
      <w:r w:rsidR="00D61E7C">
        <w:t>not all partners will</w:t>
      </w:r>
      <w:r>
        <w:t xml:space="preserve"> agree on everything, </w:t>
      </w:r>
      <w:proofErr w:type="gramStart"/>
      <w:r>
        <w:t>all of</w:t>
      </w:r>
      <w:proofErr w:type="gramEnd"/>
      <w:r>
        <w:t xml:space="preserve"> the time. Having challenging conversations in a spirit of openness and honesty will ensure fewer surprises as the collaborative progresses. </w:t>
      </w:r>
    </w:p>
    <w:p w14:paraId="5309E668" w14:textId="77777777" w:rsidR="00A75C9D" w:rsidRDefault="00A75C9D" w:rsidP="0052091C">
      <w:pPr>
        <w:pStyle w:val="Bullet1"/>
      </w:pPr>
      <w:r w:rsidRPr="00BF1C1F">
        <w:rPr>
          <w:b/>
        </w:rPr>
        <w:t>Foster and distribute visionary leadership</w:t>
      </w:r>
      <w:r>
        <w:t>: good collaboration requires commitment, energy, a willingness to reflect and course correct. Good collaborative leadership helps to clarify directions, engage diverse perspectives, find and challenge assumptions, and distribute decision making authority. This brings momentum and progress, and a sense of moving in a shared direction.</w:t>
      </w:r>
    </w:p>
    <w:p w14:paraId="3DD8FF1F" w14:textId="77777777" w:rsidR="00A75C9D" w:rsidRDefault="00A75C9D" w:rsidP="00A75C9D">
      <w:pPr>
        <w:rPr>
          <w:bCs/>
        </w:rPr>
      </w:pPr>
    </w:p>
    <w:p w14:paraId="48C00BD9" w14:textId="77777777" w:rsidR="00A75C9D" w:rsidRDefault="00A75C9D" w:rsidP="00A75C9D">
      <w:pPr>
        <w:rPr>
          <w:bCs/>
        </w:rPr>
      </w:pPr>
      <w:r>
        <w:rPr>
          <w:bCs/>
        </w:rPr>
        <w:t>Finding ways to embed these principles into collaborative work is itself a collaborative activity, and one that isn’t ever complete. Ensuring that partners value and commit to these ways of working up front, and throughout a collaborative process, will help to increase the likelihood that individual partner needs are met, as well as shared goals achieved.</w:t>
      </w:r>
    </w:p>
    <w:p w14:paraId="0A935788" w14:textId="77777777" w:rsidR="00A75C9D" w:rsidRDefault="00A75C9D" w:rsidP="00A75C9D">
      <w:pPr>
        <w:rPr>
          <w:bCs/>
        </w:rPr>
      </w:pPr>
    </w:p>
    <w:p w14:paraId="5191ABC3" w14:textId="5F34640F" w:rsidR="00A75C9D" w:rsidRDefault="00856ABB" w:rsidP="00A75C9D">
      <w:pPr>
        <w:rPr>
          <w:bCs/>
        </w:rPr>
      </w:pPr>
      <w:r>
        <w:rPr>
          <w:bCs/>
        </w:rPr>
        <w:t>Partner Organisations in this initiative are</w:t>
      </w:r>
      <w:r w:rsidR="00A75C9D">
        <w:rPr>
          <w:bCs/>
        </w:rPr>
        <w:t xml:space="preserve"> eager to see the progress made by those WISE receiving funding through the open grant round, and are committed to continuing to share </w:t>
      </w:r>
      <w:r>
        <w:rPr>
          <w:bCs/>
        </w:rPr>
        <w:t>their</w:t>
      </w:r>
      <w:r w:rsidR="00A75C9D">
        <w:rPr>
          <w:bCs/>
        </w:rPr>
        <w:t xml:space="preserve"> experiences with the sector in a spirit of openness and mutual benefit. </w:t>
      </w:r>
    </w:p>
    <w:p w14:paraId="5C7729E3" w14:textId="77777777" w:rsidR="00A75C9D" w:rsidRDefault="00A75C9D" w:rsidP="00A75C9D">
      <w:pPr>
        <w:rPr>
          <w:bCs/>
        </w:rPr>
      </w:pPr>
    </w:p>
    <w:p w14:paraId="628EBF55" w14:textId="77777777" w:rsidR="00A75C9D" w:rsidRDefault="00A75C9D" w:rsidP="00A75C9D">
      <w:pPr>
        <w:rPr>
          <w:bCs/>
        </w:rPr>
      </w:pPr>
      <w:r>
        <w:rPr>
          <w:bCs/>
        </w:rPr>
        <w:t xml:space="preserve">For more information about the 2023 WISE Grant Round, please contact </w:t>
      </w:r>
      <w:r w:rsidRPr="00C10AB3">
        <w:rPr>
          <w:bCs/>
          <w:highlight w:val="yellow"/>
        </w:rPr>
        <w:t>XXX</w:t>
      </w:r>
      <w:r>
        <w:rPr>
          <w:bCs/>
        </w:rPr>
        <w:t xml:space="preserve">. </w:t>
      </w:r>
    </w:p>
    <w:p w14:paraId="194EFFDD" w14:textId="77777777" w:rsidR="00A75C9D" w:rsidRPr="00C10AB3" w:rsidRDefault="00A75C9D" w:rsidP="00A75C9D">
      <w:pPr>
        <w:rPr>
          <w:b/>
        </w:rPr>
      </w:pPr>
    </w:p>
    <w:p w14:paraId="06BA8EEA" w14:textId="77777777" w:rsidR="00A75C9D" w:rsidRPr="00C10AB3" w:rsidRDefault="00A75C9D" w:rsidP="00A75C9D">
      <w:pPr>
        <w:pStyle w:val="Header2"/>
      </w:pPr>
      <w:r w:rsidRPr="00C10AB3">
        <w:t>Acknowledgements</w:t>
      </w:r>
    </w:p>
    <w:p w14:paraId="3E096161" w14:textId="50E8D7AB" w:rsidR="00A75C9D" w:rsidRPr="00BF1C1F" w:rsidRDefault="00856ABB" w:rsidP="00A75C9D">
      <w:pPr>
        <w:rPr>
          <w:bCs/>
        </w:rPr>
      </w:pPr>
      <w:r>
        <w:rPr>
          <w:bCs/>
        </w:rPr>
        <w:t>This work is made possible through the commitment of many. Thanks to</w:t>
      </w:r>
      <w:r w:rsidR="00A75C9D">
        <w:rPr>
          <w:bCs/>
        </w:rPr>
        <w:t xml:space="preserve"> the Lord Mayor’s Charitable Foundation (LMCF) for their role as Host Organisation for the WISE Grant Round, and their ongoing efforts to support WISE in Australia. </w:t>
      </w:r>
      <w:r>
        <w:rPr>
          <w:bCs/>
        </w:rPr>
        <w:t>Thanks also to</w:t>
      </w:r>
      <w:r w:rsidR="00A75C9D">
        <w:rPr>
          <w:bCs/>
        </w:rPr>
        <w:t xml:space="preserve"> all partner organisations who collaborated on this pilot project (in alphabetical order): English Family Foundation, LMCF, Macquarie Group Foundation, Minderoo Foundation, Paul Ramsay Foundation, Vincent Fairfax Family Foundation, and the Westpac Foundation. Special </w:t>
      </w:r>
      <w:r>
        <w:rPr>
          <w:bCs/>
        </w:rPr>
        <w:t>appreciation is extended</w:t>
      </w:r>
      <w:r w:rsidR="00A75C9D">
        <w:rPr>
          <w:bCs/>
        </w:rPr>
        <w:t xml:space="preserve"> to </w:t>
      </w:r>
      <w:proofErr w:type="spellStart"/>
      <w:r w:rsidR="00A75C9D">
        <w:rPr>
          <w:bCs/>
        </w:rPr>
        <w:t>MinterEllison</w:t>
      </w:r>
      <w:proofErr w:type="spellEnd"/>
      <w:r w:rsidR="00A75C9D">
        <w:rPr>
          <w:bCs/>
        </w:rPr>
        <w:t xml:space="preserve"> for their expertise in developing the MOU and ongoing pro-bono support for the collaboration, </w:t>
      </w:r>
      <w:r>
        <w:rPr>
          <w:bCs/>
        </w:rPr>
        <w:t>as well as</w:t>
      </w:r>
      <w:r w:rsidR="00A75C9D">
        <w:rPr>
          <w:bCs/>
        </w:rPr>
        <w:t xml:space="preserve"> members of the Social Enterprise Advisory Group who gave their time and expertise in designing the WISE grant round. Finally, thanks to all WISE who participated in the EOI and full application process, as well as in the evaluation and learning process. </w:t>
      </w:r>
    </w:p>
    <w:p w14:paraId="08E98CD3" w14:textId="77777777" w:rsidR="00A75C9D" w:rsidRPr="008E4342" w:rsidRDefault="00A75C9D" w:rsidP="00A75C9D"/>
    <w:p w14:paraId="02CC322E" w14:textId="77777777" w:rsidR="00A75C9D" w:rsidRPr="008E4342" w:rsidRDefault="00A75C9D" w:rsidP="00A75C9D">
      <w:pPr>
        <w:spacing w:before="120" w:line="264" w:lineRule="auto"/>
        <w:ind w:left="720"/>
      </w:pPr>
    </w:p>
    <w:bookmarkEnd w:id="2"/>
    <w:p w14:paraId="44925412" w14:textId="77777777" w:rsidR="009D08B7" w:rsidRDefault="009D08B7" w:rsidP="00102444">
      <w:pPr>
        <w:pStyle w:val="Header3"/>
      </w:pPr>
    </w:p>
    <w:p w14:paraId="3971C6BD" w14:textId="53107A70" w:rsidR="00860B17" w:rsidRPr="002F4754" w:rsidRDefault="00860B17" w:rsidP="00A34D83">
      <w:pPr>
        <w:pStyle w:val="ContentText"/>
      </w:pPr>
    </w:p>
    <w:p w14:paraId="5CE213E7" w14:textId="0E2E580F" w:rsidR="00860B17" w:rsidRPr="002D0678" w:rsidRDefault="000D49C8" w:rsidP="002D0678">
      <w:pPr>
        <w:jc w:val="both"/>
        <w:rPr>
          <w:rFonts w:eastAsiaTheme="majorEastAsia" w:cstheme="majorBidi"/>
          <w:b/>
          <w:color w:val="E04307"/>
          <w:sz w:val="52"/>
          <w:szCs w:val="32"/>
        </w:rPr>
      </w:pPr>
      <w:r>
        <w:rPr>
          <w:noProof/>
        </w:rPr>
        <mc:AlternateContent>
          <mc:Choice Requires="wps">
            <w:drawing>
              <wp:anchor distT="0" distB="0" distL="114300" distR="114300" simplePos="0" relativeHeight="251738112" behindDoc="1" locked="0" layoutInCell="1" allowOverlap="1" wp14:anchorId="4182D27D" wp14:editId="2253E110">
                <wp:simplePos x="0" y="0"/>
                <wp:positionH relativeFrom="page">
                  <wp:posOffset>-172122</wp:posOffset>
                </wp:positionH>
                <wp:positionV relativeFrom="page">
                  <wp:posOffset>-321348</wp:posOffset>
                </wp:positionV>
                <wp:extent cx="7741920" cy="11660777"/>
                <wp:effectExtent l="0" t="0" r="5080" b="0"/>
                <wp:wrapNone/>
                <wp:docPr id="61" name="Rectangle 61" title="Color background"/>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41920" cy="11660777"/>
                        </a:xfrm>
                        <a:prstGeom prst="rect">
                          <a:avLst/>
                        </a:prstGeom>
                        <a:solidFill>
                          <a:schemeClr val="accent1"/>
                        </a:solidFill>
                        <a:ln>
                          <a:noFill/>
                        </a:ln>
                      </wps:spPr>
                      <wps:txbx>
                        <w:txbxContent>
                          <w:p w14:paraId="50F74068" w14:textId="77777777" w:rsidR="000D49C8" w:rsidRDefault="000D49C8" w:rsidP="000D49C8">
                            <w:pPr>
                              <w:jc w:val="center"/>
                            </w:pPr>
                            <w:r>
                              <w:t xml:space="preserve"> </w:t>
                            </w:r>
                          </w:p>
                        </w:txbxContent>
                      </wps:txbx>
                      <wps:bodyPr vert="horz" wrap="square" lIns="91440" tIns="45720" rIns="91440" bIns="45720" numCol="1" anchor="t"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rect w14:anchorId="4182D27D" id="Rectangle 61" o:spid="_x0000_s1031" alt="Title: Color background" style="position:absolute;left:0;text-align:left;margin-left:-13.55pt;margin-top:-25.3pt;width:609.6pt;height:918.15pt;z-index:-251578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" fillcolor="#4d64af [3204]" stroked="f">
                <v:textbox>
                  <w:txbxContent>
                    <w:p w14:paraId="50F74068" w14:textId="77777777" w:rsidR="000D49C8" w:rsidRDefault="000D49C8" w:rsidP="000D49C8">
                      <w:pPr>
                        <w:jc w:val="center"/>
                      </w:pPr>
                      <w:r>
                        <w:t xml:space="preserve"> </w:t>
                      </w:r>
                    </w:p>
                  </w:txbxContent>
                </v:textbox>
                <w10:wrap anchorx="page" anchory="page"/>
              </v:rect>
            </w:pict>
          </mc:Fallback>
        </mc:AlternateContent>
      </w:r>
      <w:r w:rsidR="00D24DD3">
        <w:rPr>
          <w:rFonts w:eastAsiaTheme="majorEastAsia" w:cstheme="majorBidi"/>
          <w:b/>
          <w:noProof/>
          <w:color w:val="E04307"/>
          <w:sz w:val="52"/>
          <w:szCs w:val="32"/>
        </w:rPr>
        <w:drawing>
          <wp:anchor distT="0" distB="0" distL="114300" distR="114300" simplePos="0" relativeHeight="251641853" behindDoc="0" locked="0" layoutInCell="1" allowOverlap="1" wp14:anchorId="1D5B50D2" wp14:editId="3F97356F">
            <wp:simplePos x="0" y="0"/>
            <wp:positionH relativeFrom="column">
              <wp:posOffset>-1374775</wp:posOffset>
            </wp:positionH>
            <wp:positionV relativeFrom="paragraph">
              <wp:posOffset>-2426698</wp:posOffset>
            </wp:positionV>
            <wp:extent cx="9242425" cy="6925310"/>
            <wp:effectExtent l="0" t="0" r="0" b="8890"/>
            <wp:wrapNone/>
            <wp:docPr id="1073742527" name="Picture 1073742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2527" name="Picture 1073742527"/>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bwMode="auto">
                    <a:xfrm>
                      <a:off x="0" y="0"/>
                      <a:ext cx="9242425" cy="6925310"/>
                    </a:xfrm>
                    <a:prstGeom prst="rect">
                      <a:avLst/>
                    </a:prstGeom>
                    <a:ln w="41275">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anchor>
        </w:drawing>
      </w:r>
    </w:p>
    <w:p w14:paraId="68227D8D" w14:textId="77777777" w:rsidR="00860B17" w:rsidRPr="00FA2BBE" w:rsidRDefault="00860B17" w:rsidP="00FA2BBE"/>
    <w:p w14:paraId="0E377500" w14:textId="6FED5AAA" w:rsidR="00860B17" w:rsidRPr="00FA2BBE" w:rsidRDefault="00860B17" w:rsidP="00FA2BBE"/>
    <w:p w14:paraId="00902E43" w14:textId="77777777" w:rsidR="00860B17" w:rsidRPr="00FA2BBE" w:rsidRDefault="00860B17" w:rsidP="00FA2BBE"/>
    <w:p w14:paraId="5D3FB9FC" w14:textId="77777777" w:rsidR="00860B17" w:rsidRPr="00FA2BBE" w:rsidRDefault="00860B17" w:rsidP="00FA2BBE"/>
    <w:p w14:paraId="70CEEA5C" w14:textId="220097CF" w:rsidR="00860B17" w:rsidRPr="00FA2BBE" w:rsidRDefault="00860B17" w:rsidP="00FA2BBE"/>
    <w:p w14:paraId="6D545C4C" w14:textId="2301B2DB" w:rsidR="002D0678" w:rsidRDefault="002D0678" w:rsidP="002F4754">
      <w:pPr>
        <w:spacing w:before="120"/>
        <w:rPr>
          <w:color w:val="6F6F6F" w:themeColor="text1" w:themeTint="BF"/>
        </w:rPr>
      </w:pPr>
    </w:p>
    <w:p w14:paraId="5865C8FE" w14:textId="32A338EC" w:rsidR="002D0678" w:rsidRDefault="00603636" w:rsidP="00603636">
      <w:pPr>
        <w:spacing w:before="120"/>
        <w:jc w:val="center"/>
        <w:rPr>
          <w:color w:val="6F6F6F" w:themeColor="text1" w:themeTint="BF"/>
        </w:rPr>
      </w:pPr>
      <w:r>
        <w:rPr>
          <w:color w:val="6F6F6F" w:themeColor="text1" w:themeTint="BF"/>
        </w:rPr>
        <w:br/>
      </w:r>
    </w:p>
    <w:p w14:paraId="1B2B8C62" w14:textId="77777777" w:rsidR="00D24DD3" w:rsidRDefault="00D24DD3" w:rsidP="002F4754">
      <w:pPr>
        <w:spacing w:before="120" w:after="120"/>
        <w:jc w:val="center"/>
        <w:rPr>
          <w:szCs w:val="22"/>
        </w:rPr>
      </w:pPr>
      <w:r>
        <w:rPr>
          <w:szCs w:val="22"/>
        </w:rPr>
        <w:br/>
      </w:r>
    </w:p>
    <w:p w14:paraId="736CFD81" w14:textId="77777777" w:rsidR="00D24DD3" w:rsidRDefault="00D24DD3" w:rsidP="002F4754">
      <w:pPr>
        <w:spacing w:before="120" w:after="120"/>
        <w:jc w:val="center"/>
        <w:rPr>
          <w:szCs w:val="22"/>
        </w:rPr>
      </w:pPr>
    </w:p>
    <w:p w14:paraId="1C6BE810" w14:textId="532EAF98" w:rsidR="00D24DD3" w:rsidRDefault="00D24DD3" w:rsidP="002F4754">
      <w:pPr>
        <w:spacing w:before="120" w:after="120"/>
        <w:jc w:val="center"/>
        <w:rPr>
          <w:szCs w:val="22"/>
        </w:rPr>
      </w:pPr>
    </w:p>
    <w:p w14:paraId="43C91D56" w14:textId="77777777" w:rsidR="00D24DD3" w:rsidRDefault="00D24DD3" w:rsidP="002F4754">
      <w:pPr>
        <w:spacing w:before="120" w:after="120"/>
        <w:jc w:val="center"/>
        <w:rPr>
          <w:szCs w:val="22"/>
        </w:rPr>
      </w:pPr>
    </w:p>
    <w:p w14:paraId="196140FB" w14:textId="77777777" w:rsidR="00D24DD3" w:rsidRDefault="00D24DD3" w:rsidP="002F4754">
      <w:pPr>
        <w:spacing w:before="120" w:after="120"/>
        <w:jc w:val="center"/>
        <w:rPr>
          <w:szCs w:val="22"/>
        </w:rPr>
      </w:pPr>
    </w:p>
    <w:p w14:paraId="6DC5F69E" w14:textId="130A6CA1" w:rsidR="00D24DD3" w:rsidRDefault="00D24DD3" w:rsidP="002F4754">
      <w:pPr>
        <w:spacing w:before="120" w:after="120"/>
        <w:jc w:val="center"/>
        <w:rPr>
          <w:szCs w:val="22"/>
        </w:rPr>
      </w:pPr>
      <w:r>
        <w:rPr>
          <w:szCs w:val="22"/>
        </w:rPr>
        <w:br/>
      </w:r>
      <w:r>
        <w:rPr>
          <w:szCs w:val="22"/>
        </w:rPr>
        <w:br/>
      </w:r>
      <w:r>
        <w:rPr>
          <w:szCs w:val="22"/>
        </w:rPr>
        <w:br/>
      </w:r>
      <w:r>
        <w:rPr>
          <w:szCs w:val="22"/>
        </w:rPr>
        <w:br/>
      </w:r>
      <w:r>
        <w:rPr>
          <w:szCs w:val="22"/>
        </w:rPr>
        <w:br/>
      </w:r>
      <w:r>
        <w:rPr>
          <w:szCs w:val="22"/>
        </w:rPr>
        <w:br/>
      </w:r>
      <w:r>
        <w:rPr>
          <w:szCs w:val="22"/>
        </w:rPr>
        <w:br/>
      </w:r>
      <w:r>
        <w:rPr>
          <w:szCs w:val="22"/>
        </w:rPr>
        <w:br/>
      </w:r>
      <w:r>
        <w:rPr>
          <w:szCs w:val="22"/>
        </w:rPr>
        <w:br/>
      </w:r>
      <w:r>
        <w:rPr>
          <w:szCs w:val="22"/>
        </w:rPr>
        <w:br/>
      </w:r>
      <w:r>
        <w:rPr>
          <w:szCs w:val="22"/>
        </w:rPr>
        <w:br/>
      </w:r>
      <w:r>
        <w:rPr>
          <w:szCs w:val="22"/>
        </w:rPr>
        <w:br/>
      </w:r>
      <w:r>
        <w:rPr>
          <w:szCs w:val="22"/>
        </w:rPr>
        <w:br/>
      </w:r>
    </w:p>
    <w:p w14:paraId="4609548B" w14:textId="3077F7F3" w:rsidR="00D24DD3" w:rsidRDefault="00D24DD3" w:rsidP="002F4754">
      <w:pPr>
        <w:spacing w:before="120" w:after="120"/>
        <w:jc w:val="center"/>
        <w:rPr>
          <w:szCs w:val="22"/>
        </w:rPr>
      </w:pPr>
    </w:p>
    <w:p w14:paraId="0205447B" w14:textId="77777777" w:rsidR="00D24DD3" w:rsidRDefault="00D24DD3" w:rsidP="002F4754">
      <w:pPr>
        <w:spacing w:before="120" w:after="120"/>
        <w:jc w:val="center"/>
        <w:rPr>
          <w:szCs w:val="22"/>
        </w:rPr>
      </w:pPr>
    </w:p>
    <w:p w14:paraId="4785CE6F" w14:textId="3086F698" w:rsidR="00D24DD3" w:rsidRDefault="00D24DD3" w:rsidP="002F4754">
      <w:pPr>
        <w:spacing w:before="120" w:after="120"/>
        <w:jc w:val="center"/>
        <w:rPr>
          <w:szCs w:val="22"/>
        </w:rPr>
      </w:pPr>
    </w:p>
    <w:p w14:paraId="78C04224" w14:textId="23DA7103" w:rsidR="00D24DD3" w:rsidRDefault="00D24DD3" w:rsidP="002F4754">
      <w:pPr>
        <w:spacing w:before="120" w:after="120"/>
        <w:jc w:val="center"/>
        <w:rPr>
          <w:szCs w:val="22"/>
        </w:rPr>
      </w:pPr>
    </w:p>
    <w:p w14:paraId="615EF5B7" w14:textId="5BE64C08" w:rsidR="00D24DD3" w:rsidRPr="000D49C8" w:rsidRDefault="00D24DD3" w:rsidP="00D24DD3">
      <w:pPr>
        <w:spacing w:before="120" w:after="120"/>
        <w:jc w:val="center"/>
        <w:rPr>
          <w:color w:val="FFFFFF" w:themeColor="background1"/>
          <w:szCs w:val="22"/>
        </w:rPr>
      </w:pPr>
      <w:r w:rsidRPr="000D49C8">
        <w:rPr>
          <w:noProof/>
          <w:color w:val="FFFFFF" w:themeColor="background1"/>
        </w:rPr>
        <w:drawing>
          <wp:inline distT="0" distB="0" distL="0" distR="0" wp14:anchorId="05D9E2F1" wp14:editId="6D689600">
            <wp:extent cx="2219736" cy="250810"/>
            <wp:effectExtent l="0" t="0" r="0" b="381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219736" cy="250810"/>
                    </a:xfrm>
                    <a:prstGeom prst="rect">
                      <a:avLst/>
                    </a:prstGeom>
                  </pic:spPr>
                </pic:pic>
              </a:graphicData>
            </a:graphic>
          </wp:inline>
        </w:drawing>
      </w:r>
    </w:p>
    <w:p w14:paraId="2CFFAAC5" w14:textId="77777777" w:rsidR="00D24DD3" w:rsidRPr="000D49C8" w:rsidRDefault="00D24DD3" w:rsidP="00D24DD3">
      <w:pPr>
        <w:spacing w:before="120" w:after="120"/>
        <w:jc w:val="center"/>
        <w:rPr>
          <w:color w:val="FFFFFF" w:themeColor="background1"/>
          <w:szCs w:val="22"/>
        </w:rPr>
      </w:pPr>
    </w:p>
    <w:p w14:paraId="53DC9C01" w14:textId="06EDD7CB" w:rsidR="001155E7" w:rsidRPr="000D49C8" w:rsidRDefault="00313040" w:rsidP="002F4754">
      <w:pPr>
        <w:spacing w:before="120" w:after="120"/>
        <w:jc w:val="center"/>
        <w:rPr>
          <w:b/>
          <w:color w:val="FFFFFF" w:themeColor="background1"/>
          <w:szCs w:val="22"/>
          <w:lang w:val="en-US"/>
        </w:rPr>
      </w:pPr>
      <w:r w:rsidRPr="000D49C8">
        <w:rPr>
          <w:color w:val="FFFFFF" w:themeColor="background1"/>
          <w:szCs w:val="22"/>
        </w:rPr>
        <w:t>VIC</w:t>
      </w:r>
      <w:r w:rsidR="001155E7" w:rsidRPr="000D49C8">
        <w:rPr>
          <w:color w:val="FFFFFF" w:themeColor="background1"/>
          <w:szCs w:val="22"/>
        </w:rPr>
        <w:t xml:space="preserve"> </w:t>
      </w:r>
      <w:r w:rsidRPr="000D49C8">
        <w:rPr>
          <w:b/>
          <w:color w:val="FFFFFF" w:themeColor="background1"/>
          <w:szCs w:val="22"/>
          <w:lang w:val="en-US"/>
        </w:rPr>
        <w:t>Australia</w:t>
      </w:r>
    </w:p>
    <w:p w14:paraId="5159A323" w14:textId="438B6D63" w:rsidR="001155E7" w:rsidRPr="000D49C8" w:rsidRDefault="00313040" w:rsidP="001155E7">
      <w:pPr>
        <w:spacing w:before="120" w:after="120"/>
        <w:jc w:val="center"/>
        <w:rPr>
          <w:b/>
          <w:color w:val="FFFFFF" w:themeColor="background1"/>
          <w:szCs w:val="22"/>
          <w:lang w:val="en-US"/>
        </w:rPr>
      </w:pPr>
      <w:r w:rsidRPr="000D49C8">
        <w:rPr>
          <w:bCs/>
          <w:color w:val="FFFFFF" w:themeColor="background1"/>
          <w:szCs w:val="22"/>
          <w:lang w:val="en-US"/>
        </w:rPr>
        <w:t>info</w:t>
      </w:r>
      <w:r w:rsidR="001155E7" w:rsidRPr="000D49C8">
        <w:rPr>
          <w:bCs/>
          <w:color w:val="FFFFFF" w:themeColor="background1"/>
          <w:szCs w:val="22"/>
          <w:lang w:val="en-US"/>
        </w:rPr>
        <w:t>@</w:t>
      </w:r>
      <w:r w:rsidRPr="000D49C8">
        <w:rPr>
          <w:color w:val="FFFFFF" w:themeColor="background1"/>
        </w:rPr>
        <w:t>dayfourprojects</w:t>
      </w:r>
      <w:r w:rsidR="001155E7" w:rsidRPr="000D49C8">
        <w:rPr>
          <w:color w:val="FFFFFF" w:themeColor="background1"/>
        </w:rPr>
        <w:t>.com |</w:t>
      </w:r>
      <w:r w:rsidR="001155E7" w:rsidRPr="000D49C8">
        <w:rPr>
          <w:b/>
          <w:color w:val="FFFFFF" w:themeColor="background1"/>
          <w:szCs w:val="22"/>
          <w:lang w:val="en-US"/>
        </w:rPr>
        <w:t xml:space="preserve"> </w:t>
      </w:r>
      <w:r w:rsidRPr="000D49C8">
        <w:rPr>
          <w:b/>
          <w:color w:val="FFFFFF" w:themeColor="background1"/>
          <w:szCs w:val="22"/>
          <w:lang w:val="en-US"/>
        </w:rPr>
        <w:t>dayfourprojects.com</w:t>
      </w:r>
    </w:p>
    <w:p w14:paraId="76D44835" w14:textId="7104570F" w:rsidR="001155E7" w:rsidRPr="00FA2BBE" w:rsidRDefault="001155E7" w:rsidP="00FA2BBE"/>
    <w:p w14:paraId="48E318EE" w14:textId="71BC08A0" w:rsidR="00860B17" w:rsidRPr="00FA2BBE" w:rsidRDefault="00860B17" w:rsidP="00FA2BBE"/>
    <w:p w14:paraId="7D4D0580" w14:textId="61BC9305" w:rsidR="00860B17" w:rsidRPr="00FA2BBE" w:rsidRDefault="00603636" w:rsidP="00FA2BBE">
      <w:r>
        <w:br/>
      </w:r>
      <w:r w:rsidR="00730A1A" w:rsidRPr="00FA2BBE">
        <w:rPr>
          <w:noProof/>
        </w:rPr>
        <mc:AlternateContent>
          <mc:Choice Requires="wps">
            <w:drawing>
              <wp:anchor distT="0" distB="0" distL="114300" distR="114300" simplePos="0" relativeHeight="251643903" behindDoc="1" locked="0" layoutInCell="1" allowOverlap="1" wp14:anchorId="18B73C4F" wp14:editId="6EAC15B4">
                <wp:simplePos x="0" y="0"/>
                <wp:positionH relativeFrom="column">
                  <wp:posOffset>-878983</wp:posOffset>
                </wp:positionH>
                <wp:positionV relativeFrom="paragraph">
                  <wp:posOffset>4495827</wp:posOffset>
                </wp:positionV>
                <wp:extent cx="7846695" cy="800735"/>
                <wp:effectExtent l="0" t="0" r="1905" b="0"/>
                <wp:wrapNone/>
                <wp:docPr id="18" name="Rectangle 18"/>
                <wp:cNvGraphicFramePr/>
                <a:graphic xmlns:a="http://schemas.openxmlformats.org/drawingml/2006/main">
                  <a:graphicData uri="http://schemas.microsoft.com/office/word/2010/wordprocessingShape">
                    <wps:wsp>
                      <wps:cNvSpPr/>
                      <wps:spPr>
                        <a:xfrm>
                          <a:off x="0" y="0"/>
                          <a:ext cx="7846695" cy="8007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CFA096A" w14:textId="77777777" w:rsidR="00C368BA" w:rsidRPr="00860B17" w:rsidRDefault="00C368BA" w:rsidP="00C368BA">
                            <w:pPr>
                              <w:jc w:val="center"/>
                              <w:rPr>
                                <w:rFonts w:ascii="Iowan Old Style Titling" w:hAnsi="Iowan Old Style Titling"/>
                                <w:i/>
                                <w:color w:val="FFFFFF" w:themeColor="background1"/>
                                <w:sz w:val="32"/>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B73C4F" id="Rectangle 18" o:spid="_x0000_s1032" style="position:absolute;margin-left:-69.2pt;margin-top:354pt;width:617.85pt;height:63.05pt;z-index:-2516725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" fillcolor="white [3212]" stroked="f" strokeweight="2pt">
                <v:textbox>
                  <w:txbxContent>
                    <w:p w14:paraId="2CFA096A" w14:textId="77777777" w:rsidR="00C368BA" w:rsidRPr="00860B17" w:rsidRDefault="00C368BA" w:rsidP="00C368BA">
                      <w:pPr>
                        <w:jc w:val="center"/>
                        <w:rPr>
                          <w:rFonts w:ascii="Iowan Old Style Titling" w:hAnsi="Iowan Old Style Titling"/>
                          <w:i/>
                          <w:color w:val="FFFFFF" w:themeColor="background1"/>
                          <w:sz w:val="32"/>
                          <w:lang w:val="en-US"/>
                        </w:rPr>
                      </w:pPr>
                    </w:p>
                  </w:txbxContent>
                </v:textbox>
              </v:rect>
            </w:pict>
          </mc:Fallback>
        </mc:AlternateContent>
      </w:r>
    </w:p>
    <w:sectPr w:rsidR="00860B17" w:rsidRPr="00FA2BBE" w:rsidSect="00D27C9B">
      <w:headerReference w:type="default" r:id="rId14"/>
      <w:footerReference w:type="even" r:id="rId15"/>
      <w:footerReference w:type="default" r:id="rId16"/>
      <w:type w:val="continuous"/>
      <w:pgSz w:w="11901" w:h="16817"/>
      <w:pgMar w:top="1440" w:right="1304"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E1B0C9" w14:textId="77777777" w:rsidR="00F315C3" w:rsidRDefault="00F315C3" w:rsidP="003613B2">
      <w:r>
        <w:separator/>
      </w:r>
    </w:p>
    <w:p w14:paraId="2547D48E" w14:textId="77777777" w:rsidR="00F315C3" w:rsidRDefault="00F315C3"/>
  </w:endnote>
  <w:endnote w:type="continuationSeparator" w:id="0">
    <w:p w14:paraId="7DCEB53C" w14:textId="77777777" w:rsidR="00F315C3" w:rsidRDefault="00F315C3" w:rsidP="003613B2">
      <w:r>
        <w:continuationSeparator/>
      </w:r>
    </w:p>
    <w:p w14:paraId="7E0BC0F2" w14:textId="77777777" w:rsidR="00F315C3" w:rsidRDefault="00F315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Helvetic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200247B" w:usb2="00000009" w:usb3="00000000" w:csb0="000001FF" w:csb1="00000000"/>
  </w:font>
  <w:font w:name="TT Commons">
    <w:altName w:val="Calibri"/>
    <w:panose1 w:val="020B0604020202020204"/>
    <w:charset w:val="4D"/>
    <w:family w:val="auto"/>
    <w:pitch w:val="variable"/>
    <w:sig w:usb0="A000022F" w:usb1="5000846B" w:usb2="00000000" w:usb3="00000000" w:csb0="00000097" w:csb1="00000000"/>
  </w:font>
  <w:font w:name="Iowan Old Style">
    <w:altName w:val="Cambria"/>
    <w:panose1 w:val="02040602040506020204"/>
    <w:charset w:val="4D"/>
    <w:family w:val="roman"/>
    <w:pitch w:val="variable"/>
    <w:sig w:usb0="A00000EF" w:usb1="400020CB" w:usb2="00000000" w:usb3="00000000" w:csb0="00000093" w:csb1="00000000"/>
  </w:font>
  <w:font w:name="Helvetica">
    <w:panose1 w:val="00000000000000000000"/>
    <w:charset w:val="00"/>
    <w:family w:val="auto"/>
    <w:pitch w:val="variable"/>
    <w:sig w:usb0="E00002FF" w:usb1="5000785B" w:usb2="00000000" w:usb3="00000000" w:csb0="0000019F" w:csb1="00000000"/>
  </w:font>
  <w:font w:name="MS PGothic">
    <w:panose1 w:val="020B0600070205080204"/>
    <w:charset w:val="80"/>
    <w:family w:val="swiss"/>
    <w:pitch w:val="variable"/>
    <w:sig w:usb0="E00002FF" w:usb1="6AC7FDFB" w:usb2="08000012" w:usb3="00000000" w:csb0="0002009F" w:csb1="00000000"/>
  </w:font>
  <w:font w:name="Times New Roman (Body CS)">
    <w:altName w:val="Times New Roman"/>
    <w:panose1 w:val="020B0604020202020204"/>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Iowan Old Style Titling">
    <w:altName w:val="Cambria"/>
    <w:panose1 w:val="02040602040506020204"/>
    <w:charset w:val="4D"/>
    <w:family w:val="roman"/>
    <w:pitch w:val="variable"/>
    <w:sig w:usb0="A00000EF" w:usb1="400020CB" w:usb2="00000000" w:usb3="00000000" w:csb0="00000093" w:csb1="00000000"/>
  </w:font>
  <w:font w:name="Gotham Book">
    <w:panose1 w:val="00000000000000000000"/>
    <w:charset w:val="00"/>
    <w:family w:val="auto"/>
    <w:pitch w:val="variable"/>
    <w:sig w:usb0="A00002FF" w:usb1="4000005B" w:usb2="00000000" w:usb3="00000000" w:csb0="0000009F" w:csb1="00000000"/>
  </w:font>
  <w:font w:name="TT Commons Medium">
    <w:panose1 w:val="020B0604020202020204"/>
    <w:charset w:val="4D"/>
    <w:family w:val="auto"/>
    <w:pitch w:val="variable"/>
    <w:sig w:usb0="A000022F" w:usb1="5000846B" w:usb2="00000000" w:usb3="00000000" w:csb0="00000097" w:csb1="00000000"/>
  </w:font>
  <w:font w:name="Times New Roman (Headings CS)">
    <w:altName w:val="Times New Roman"/>
    <w:panose1 w:val="020B0604020202020204"/>
    <w:charset w:val="00"/>
    <w:family w:val="roman"/>
    <w:pitch w:val="default"/>
  </w:font>
  <w:font w:name="TT Commons Italic">
    <w:panose1 w:val="020B0604020202020204"/>
    <w:charset w:val="4D"/>
    <w:family w:val="auto"/>
    <w:pitch w:val="variable"/>
    <w:sig w:usb0="A000022F" w:usb1="5000846B" w:usb2="00000000" w:usb3="00000000" w:csb0="00000097" w:csb1="00000000"/>
  </w:font>
  <w:font w:name="TT Commons Light Italic">
    <w:panose1 w:val="020B0604020202020204"/>
    <w:charset w:val="4D"/>
    <w:family w:val="auto"/>
    <w:pitch w:val="variable"/>
    <w:sig w:usb0="A000022F" w:usb1="5000846B" w:usb2="00000000" w:usb3="00000000" w:csb0="00000097" w:csb1="00000000"/>
  </w:font>
  <w:font w:name="Times">
    <w:altName w:val="Times New Roman"/>
    <w:panose1 w:val="00000500000000020000"/>
    <w:charset w:val="00"/>
    <w:family w:val="auto"/>
    <w:pitch w:val="variable"/>
    <w:sig w:usb0="E00002FF" w:usb1="5000205A"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79963481"/>
      <w:docPartObj>
        <w:docPartGallery w:val="Page Numbers (Bottom of Page)"/>
        <w:docPartUnique/>
      </w:docPartObj>
    </w:sdtPr>
    <w:sdtContent>
      <w:p w14:paraId="7D92A781" w14:textId="77777777" w:rsidR="00781744" w:rsidRDefault="00781744" w:rsidP="003316D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E310E13" w14:textId="77777777" w:rsidR="00781744" w:rsidRDefault="00781744" w:rsidP="00D03C8A">
    <w:pPr>
      <w:pStyle w:val="Footer"/>
      <w:ind w:right="360"/>
    </w:pPr>
  </w:p>
  <w:p w14:paraId="3AF5E5D0" w14:textId="77777777" w:rsidR="003E0AB3" w:rsidRDefault="003E0AB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0CD81" w14:textId="77777777" w:rsidR="003316D5" w:rsidRDefault="003316D5" w:rsidP="0018615B">
    <w:pPr>
      <w:spacing w:before="240"/>
      <w:ind w:left="357" w:right="360"/>
      <w:rPr>
        <w:color w:val="000000" w:themeColor="text2"/>
        <w:spacing w:val="10"/>
        <w:sz w:val="30"/>
        <w:szCs w:val="30"/>
      </w:rPr>
    </w:pPr>
  </w:p>
  <w:sdt>
    <w:sdtPr>
      <w:rPr>
        <w:rStyle w:val="PageNumber"/>
        <w:color w:val="9E9E9E" w:themeColor="text1" w:themeTint="80"/>
        <w:szCs w:val="16"/>
      </w:rPr>
      <w:id w:val="1240675973"/>
      <w:docPartObj>
        <w:docPartGallery w:val="Page Numbers (Bottom of Page)"/>
        <w:docPartUnique/>
      </w:docPartObj>
    </w:sdtPr>
    <w:sdtEndPr>
      <w:rPr>
        <w:rStyle w:val="PageNumber"/>
        <w:sz w:val="44"/>
        <w:szCs w:val="44"/>
      </w:rPr>
    </w:sdtEndPr>
    <w:sdtContent>
      <w:p w14:paraId="4C588FE0" w14:textId="77777777" w:rsidR="00886C93" w:rsidRPr="00886C93" w:rsidRDefault="00886C93" w:rsidP="00886C93">
        <w:pPr>
          <w:pStyle w:val="Footer"/>
          <w:framePr w:wrap="none" w:vAnchor="text" w:hAnchor="page" w:x="10442" w:y="291"/>
          <w:rPr>
            <w:rStyle w:val="PageNumber"/>
            <w:color w:val="9E9E9E" w:themeColor="text1" w:themeTint="80"/>
            <w:szCs w:val="16"/>
          </w:rPr>
        </w:pPr>
        <w:r w:rsidRPr="00886C93">
          <w:rPr>
            <w:rStyle w:val="PageNumber"/>
            <w:color w:val="9E9E9E" w:themeColor="text1" w:themeTint="80"/>
            <w:sz w:val="20"/>
            <w:szCs w:val="20"/>
          </w:rPr>
          <w:fldChar w:fldCharType="begin"/>
        </w:r>
        <w:r w:rsidRPr="00886C93">
          <w:rPr>
            <w:rStyle w:val="PageNumber"/>
            <w:color w:val="9E9E9E" w:themeColor="text1" w:themeTint="80"/>
            <w:sz w:val="20"/>
            <w:szCs w:val="20"/>
          </w:rPr>
          <w:instrText xml:space="preserve"> PAGE </w:instrText>
        </w:r>
        <w:r w:rsidRPr="00886C93">
          <w:rPr>
            <w:rStyle w:val="PageNumber"/>
            <w:color w:val="9E9E9E" w:themeColor="text1" w:themeTint="80"/>
            <w:sz w:val="20"/>
            <w:szCs w:val="20"/>
          </w:rPr>
          <w:fldChar w:fldCharType="separate"/>
        </w:r>
        <w:r w:rsidRPr="00886C93">
          <w:rPr>
            <w:rStyle w:val="PageNumber"/>
            <w:noProof/>
            <w:color w:val="9E9E9E" w:themeColor="text1" w:themeTint="80"/>
            <w:sz w:val="20"/>
            <w:szCs w:val="20"/>
          </w:rPr>
          <w:t>4</w:t>
        </w:r>
        <w:r w:rsidRPr="00886C93">
          <w:rPr>
            <w:rStyle w:val="PageNumber"/>
            <w:color w:val="9E9E9E" w:themeColor="text1" w:themeTint="80"/>
            <w:sz w:val="20"/>
            <w:szCs w:val="20"/>
          </w:rPr>
          <w:fldChar w:fldCharType="end"/>
        </w:r>
      </w:p>
    </w:sdtContent>
  </w:sdt>
  <w:p w14:paraId="7C945F2F" w14:textId="77777777" w:rsidR="00781744" w:rsidRDefault="00886C93" w:rsidP="00D03C8A">
    <w:pPr>
      <w:pStyle w:val="Footer"/>
      <w:tabs>
        <w:tab w:val="clear" w:pos="4680"/>
        <w:tab w:val="clear" w:pos="9360"/>
        <w:tab w:val="left" w:pos="1115"/>
      </w:tabs>
      <w:ind w:right="360"/>
    </w:pPr>
    <w:r w:rsidRPr="003316D5">
      <w:rPr>
        <w:noProof/>
      </w:rPr>
      <mc:AlternateContent>
        <mc:Choice Requires="wps">
          <w:drawing>
            <wp:anchor distT="0" distB="0" distL="114300" distR="114300" simplePos="0" relativeHeight="251663360" behindDoc="0" locked="0" layoutInCell="1" allowOverlap="1" wp14:anchorId="701E84FE" wp14:editId="5DE0EBD3">
              <wp:simplePos x="0" y="0"/>
              <wp:positionH relativeFrom="column">
                <wp:posOffset>-915670</wp:posOffset>
              </wp:positionH>
              <wp:positionV relativeFrom="page">
                <wp:posOffset>10534940</wp:posOffset>
              </wp:positionV>
              <wp:extent cx="7799070" cy="134620"/>
              <wp:effectExtent l="0" t="0" r="0" b="5080"/>
              <wp:wrapNone/>
              <wp:docPr id="14" name="Rectangle 14"/>
              <wp:cNvGraphicFramePr/>
              <a:graphic xmlns:a="http://schemas.openxmlformats.org/drawingml/2006/main">
                <a:graphicData uri="http://schemas.microsoft.com/office/word/2010/wordprocessingShape">
                  <wps:wsp>
                    <wps:cNvSpPr/>
                    <wps:spPr>
                      <a:xfrm>
                        <a:off x="0" y="0"/>
                        <a:ext cx="7799070" cy="134620"/>
                      </a:xfrm>
                      <a:prstGeom prst="rect">
                        <a:avLst/>
                      </a:prstGeom>
                      <a:solidFill>
                        <a:schemeClr val="tx2">
                          <a:lumMod val="50000"/>
                          <a:lumOff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317A52" id="Rectangle 14" o:spid="_x0000_s1026" style="position:absolute;margin-left:-72.1pt;margin-top:829.5pt;width:614.1pt;height:10.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" fillcolor="gray [1631]" stroked="f" strokeweight="2pt">
              <w10:wrap anchory="page"/>
            </v:rect>
          </w:pict>
        </mc:Fallback>
      </mc:AlternateContent>
    </w:r>
    <w:r w:rsidRPr="005D79E5">
      <w:rPr>
        <w:noProof/>
        <w:color w:val="4D64AF"/>
      </w:rPr>
      <mc:AlternateContent>
        <mc:Choice Requires="wps">
          <w:drawing>
            <wp:anchor distT="0" distB="0" distL="114300" distR="114300" simplePos="0" relativeHeight="251664384" behindDoc="0" locked="0" layoutInCell="1" allowOverlap="1" wp14:anchorId="18C3D8B1" wp14:editId="2C5CCC61">
              <wp:simplePos x="0" y="0"/>
              <wp:positionH relativeFrom="column">
                <wp:posOffset>5577417</wp:posOffset>
              </wp:positionH>
              <wp:positionV relativeFrom="paragraph">
                <wp:posOffset>90170</wp:posOffset>
              </wp:positionV>
              <wp:extent cx="0" cy="300990"/>
              <wp:effectExtent l="0" t="0" r="38100" b="22860"/>
              <wp:wrapNone/>
              <wp:docPr id="28" name="Straight Connector 28"/>
              <wp:cNvGraphicFramePr/>
              <a:graphic xmlns:a="http://schemas.openxmlformats.org/drawingml/2006/main">
                <a:graphicData uri="http://schemas.microsoft.com/office/word/2010/wordprocessingShape">
                  <wps:wsp>
                    <wps:cNvCnPr/>
                    <wps:spPr>
                      <a:xfrm>
                        <a:off x="0" y="0"/>
                        <a:ext cx="0" cy="300990"/>
                      </a:xfrm>
                      <a:prstGeom prst="line">
                        <a:avLst/>
                      </a:prstGeom>
                      <a:ln>
                        <a:solidFill>
                          <a:srgbClr val="4D64AF"/>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C94A865" id="Straight Connector 28"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439.15pt,7.1pt" to="439.15pt,30.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" strokecolor="#4d64af"/>
          </w:pict>
        </mc:Fallback>
      </mc:AlternateContent>
    </w:r>
    <w:r>
      <w:rPr>
        <w:noProof/>
      </w:rPr>
      <mc:AlternateContent>
        <mc:Choice Requires="wps">
          <w:drawing>
            <wp:anchor distT="0" distB="0" distL="114300" distR="114300" simplePos="0" relativeHeight="251665408" behindDoc="0" locked="0" layoutInCell="1" allowOverlap="1" wp14:anchorId="7F19630D" wp14:editId="0BF9E44F">
              <wp:simplePos x="0" y="0"/>
              <wp:positionH relativeFrom="column">
                <wp:posOffset>21771</wp:posOffset>
              </wp:positionH>
              <wp:positionV relativeFrom="paragraph">
                <wp:posOffset>150949</wp:posOffset>
              </wp:positionV>
              <wp:extent cx="5519058" cy="242570"/>
              <wp:effectExtent l="0" t="0" r="0" b="0"/>
              <wp:wrapNone/>
              <wp:docPr id="30" name="Text Box 30"/>
              <wp:cNvGraphicFramePr/>
              <a:graphic xmlns:a="http://schemas.openxmlformats.org/drawingml/2006/main">
                <a:graphicData uri="http://schemas.microsoft.com/office/word/2010/wordprocessingShape">
                  <wps:wsp>
                    <wps:cNvSpPr txBox="1"/>
                    <wps:spPr>
                      <a:xfrm>
                        <a:off x="0" y="0"/>
                        <a:ext cx="5519058" cy="242570"/>
                      </a:xfrm>
                      <a:prstGeom prst="rect">
                        <a:avLst/>
                      </a:prstGeom>
                      <a:noFill/>
                      <a:ln w="6350">
                        <a:noFill/>
                      </a:ln>
                    </wps:spPr>
                    <wps:txbx>
                      <w:txbxContent>
                        <w:p w14:paraId="7415315B" w14:textId="7ADA6253" w:rsidR="003316D5" w:rsidRPr="00886C93" w:rsidRDefault="00571B82" w:rsidP="00A66F63">
                          <w:pPr>
                            <w:pStyle w:val="Footer"/>
                            <w:rPr>
                              <w:lang w:val="en-US"/>
                            </w:rPr>
                          </w:pPr>
                          <w:r>
                            <w:rPr>
                              <w:lang w:val="en-US"/>
                            </w:rPr>
                            <w:t>CASE STUDY: WISE GRANT ROUND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F19630D" id="_x0000_t202" coordsize="21600,21600" o:spt="202" path="m,l,21600r21600,l21600,xe">
              <v:stroke joinstyle="miter"/>
              <v:path gradientshapeok="t" o:connecttype="rect"/>
            </v:shapetype>
            <v:shape id="Text Box 30" o:spid="_x0000_s1033" type="#_x0000_t202" style="position:absolute;left:0;text-align:left;margin-left:1.7pt;margin-top:11.9pt;width:434.55pt;height:19.1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" filled="f" stroked="f" strokeweight=".5pt">
              <v:textbox>
                <w:txbxContent>
                  <w:p w14:paraId="7415315B" w14:textId="7ADA6253" w:rsidR="003316D5" w:rsidRPr="00886C93" w:rsidRDefault="00571B82" w:rsidP="00A66F63">
                    <w:pPr>
                      <w:pStyle w:val="Footer"/>
                      <w:rPr>
                        <w:lang w:val="en-US"/>
                      </w:rPr>
                    </w:pPr>
                    <w:r>
                      <w:rPr>
                        <w:lang w:val="en-US"/>
                      </w:rPr>
                      <w:t>CASE STUDY: WISE GRANT ROUND</w:t>
                    </w:r>
                  </w:p>
                </w:txbxContent>
              </v:textbox>
            </v:shape>
          </w:pict>
        </mc:Fallback>
      </mc:AlternateContent>
    </w:r>
  </w:p>
  <w:p w14:paraId="631493F8" w14:textId="77777777" w:rsidR="003E0AB3" w:rsidRDefault="003E0AB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292F5B" w14:textId="77777777" w:rsidR="00F315C3" w:rsidRDefault="00F315C3" w:rsidP="003613B2">
      <w:r>
        <w:separator/>
      </w:r>
    </w:p>
    <w:p w14:paraId="3B0A60C5" w14:textId="77777777" w:rsidR="00F315C3" w:rsidRDefault="00F315C3"/>
  </w:footnote>
  <w:footnote w:type="continuationSeparator" w:id="0">
    <w:p w14:paraId="64F4293B" w14:textId="77777777" w:rsidR="00F315C3" w:rsidRDefault="00F315C3" w:rsidP="003613B2">
      <w:r>
        <w:continuationSeparator/>
      </w:r>
    </w:p>
    <w:p w14:paraId="05DEAB8E" w14:textId="77777777" w:rsidR="00F315C3" w:rsidRDefault="00F315C3"/>
  </w:footnote>
  <w:footnote w:id="1">
    <w:p w14:paraId="4B8AB273" w14:textId="77777777" w:rsidR="00A75C9D" w:rsidRPr="00BF1C1F" w:rsidRDefault="00A75C9D" w:rsidP="00A75C9D">
      <w:pPr>
        <w:pStyle w:val="FootnoteText"/>
        <w:rPr>
          <w:lang w:val="en-AU"/>
        </w:rPr>
      </w:pPr>
      <w:r w:rsidRPr="00BF1C1F">
        <w:rPr>
          <w:rStyle w:val="FootnoteReference"/>
        </w:rPr>
        <w:footnoteRef/>
      </w:r>
      <w:r>
        <w:t xml:space="preserve"> </w:t>
      </w:r>
      <w:r w:rsidRPr="00BF1C1F">
        <w:rPr>
          <w:sz w:val="18"/>
          <w:szCs w:val="18"/>
        </w:rPr>
        <w:t>Pullen, T., Webster, J., &amp; Ward-Christie, L. (2023). Understanding the Impact Costs of Work Integration Social Enterprises. Centre for Social Impact, Swinburne University of Technology, Hawthorn, Australia.</w:t>
      </w:r>
    </w:p>
  </w:footnote>
  <w:footnote w:id="2">
    <w:p w14:paraId="22ECB91A" w14:textId="77777777" w:rsidR="00A75C9D" w:rsidRPr="001D6F1C" w:rsidRDefault="00A75C9D" w:rsidP="00A75C9D">
      <w:pPr>
        <w:pStyle w:val="FootnoteText"/>
        <w:rPr>
          <w:sz w:val="18"/>
          <w:szCs w:val="18"/>
          <w:lang w:val="en-AU"/>
        </w:rPr>
      </w:pPr>
      <w:r>
        <w:rPr>
          <w:rStyle w:val="FootnoteReference"/>
        </w:rPr>
        <w:footnoteRef/>
      </w:r>
      <w:r>
        <w:t xml:space="preserve"> </w:t>
      </w:r>
      <w:r>
        <w:rPr>
          <w:sz w:val="18"/>
          <w:szCs w:val="18"/>
        </w:rPr>
        <w:t>Profile of Australia’s Certified Social Enterprises (2022)</w:t>
      </w:r>
    </w:p>
  </w:footnote>
  <w:footnote w:id="3">
    <w:p w14:paraId="185B509A" w14:textId="77777777" w:rsidR="00A75C9D" w:rsidRPr="00043D47" w:rsidRDefault="00A75C9D" w:rsidP="00A75C9D">
      <w:pPr>
        <w:pStyle w:val="FootnoteText"/>
        <w:rPr>
          <w:lang w:val="en-AU"/>
        </w:rPr>
      </w:pPr>
      <w:r>
        <w:rPr>
          <w:rStyle w:val="FootnoteReference"/>
        </w:rPr>
        <w:footnoteRef/>
      </w:r>
      <w:r>
        <w:t xml:space="preserve"> </w:t>
      </w:r>
      <w:r w:rsidRPr="00043D47">
        <w:rPr>
          <w:sz w:val="18"/>
          <w:szCs w:val="18"/>
        </w:rPr>
        <w:t>The Social Enterprise Advisory Group comprised representatives from social enterprises in Australia. The reference group provided input into the design and delivery of the WISE Grant Round, including the development of application forms and procedures.</w:t>
      </w:r>
      <w:r>
        <w:rPr>
          <w:lang w:val="en-AU"/>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81980" w14:textId="77777777" w:rsidR="00781744" w:rsidRDefault="00781744">
    <w:r>
      <w:rPr>
        <w:noProof/>
      </w:rPr>
      <w:drawing>
        <wp:anchor distT="0" distB="0" distL="114300" distR="114300" simplePos="0" relativeHeight="251661312" behindDoc="0" locked="0" layoutInCell="1" allowOverlap="1" wp14:anchorId="562EB449" wp14:editId="7E054031">
          <wp:simplePos x="0" y="0"/>
          <wp:positionH relativeFrom="margin">
            <wp:posOffset>4528457</wp:posOffset>
          </wp:positionH>
          <wp:positionV relativeFrom="paragraph">
            <wp:posOffset>18920</wp:posOffset>
          </wp:positionV>
          <wp:extent cx="1509608" cy="186804"/>
          <wp:effectExtent l="0" t="0" r="1905" b="3810"/>
          <wp:wrapNone/>
          <wp:docPr id="34" name="officeArt object"/>
          <wp:cNvGraphicFramePr/>
          <a:graphic xmlns:a="http://schemas.openxmlformats.org/drawingml/2006/main">
            <a:graphicData uri="http://schemas.openxmlformats.org/drawingml/2006/picture">
              <pic:pic xmlns:pic="http://schemas.openxmlformats.org/drawingml/2006/picture">
                <pic:nvPicPr>
                  <pic:cNvPr id="34" name="officeArt object"/>
                  <pic:cNvPicPr/>
                </pic:nvPicPr>
                <pic:blipFill>
                  <a:blip r:embed="rId1">
                    <a:lum bright="70000" contrast="-70000"/>
                    <a:extLst>
                      <a:ext uri="{28A0092B-C50C-407E-A947-70E740481C1C}">
                        <a14:useLocalDpi xmlns:a14="http://schemas.microsoft.com/office/drawing/2010/main" val="0"/>
                      </a:ext>
                    </a:extLst>
                  </a:blip>
                  <a:stretch>
                    <a:fillRect/>
                  </a:stretch>
                </pic:blipFill>
                <pic:spPr>
                  <a:xfrm>
                    <a:off x="0" y="0"/>
                    <a:ext cx="1509608" cy="186804"/>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7A8708A8" w14:textId="77777777" w:rsidR="003E0AB3" w:rsidRDefault="003E0AB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249CCFA8"/>
    <w:lvl w:ilvl="0">
      <w:start w:val="1"/>
      <w:numFmt w:val="decimal"/>
      <w:pStyle w:val="ListNumber"/>
      <w:lvlText w:val="%1."/>
      <w:lvlJc w:val="left"/>
      <w:pPr>
        <w:tabs>
          <w:tab w:val="num" w:pos="360"/>
        </w:tabs>
        <w:ind w:left="360" w:hanging="360"/>
      </w:pPr>
    </w:lvl>
  </w:abstractNum>
  <w:abstractNum w:abstractNumId="1" w15:restartNumberingAfterBreak="0">
    <w:nsid w:val="007704BF"/>
    <w:multiLevelType w:val="hybridMultilevel"/>
    <w:tmpl w:val="3F3E810A"/>
    <w:lvl w:ilvl="0" w:tplc="FF121BD6">
      <w:start w:val="1"/>
      <w:numFmt w:val="bullet"/>
      <w:pStyle w:val="Bullet"/>
      <w:lvlText w:val=""/>
      <w:lvlJc w:val="left"/>
      <w:pPr>
        <w:ind w:left="360" w:hanging="360"/>
      </w:pPr>
      <w:rPr>
        <w:rFonts w:ascii="Symbol" w:hAnsi="Symbol" w:hint="default"/>
        <w:b/>
        <w:i w:val="0"/>
        <w:color w:val="E04307"/>
        <w:sz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C41DA7"/>
    <w:multiLevelType w:val="multilevel"/>
    <w:tmpl w:val="1616B8B8"/>
    <w:lvl w:ilvl="0">
      <w:start w:val="1"/>
      <w:numFmt w:val="bullet"/>
      <w:pStyle w:val="Bullet3"/>
      <w:lvlText w:val=""/>
      <w:lvlJc w:val="left"/>
      <w:pPr>
        <w:ind w:left="717" w:hanging="360"/>
      </w:pPr>
      <w:rPr>
        <w:rFonts w:ascii="Symbol" w:hAnsi="Symbol" w:hint="default"/>
        <w:color w:val="E04307"/>
      </w:rPr>
    </w:lvl>
    <w:lvl w:ilvl="1">
      <w:start w:val="1"/>
      <w:numFmt w:val="bullet"/>
      <w:lvlText w:val="–"/>
      <w:lvlJc w:val="left"/>
      <w:pPr>
        <w:ind w:left="1077" w:hanging="360"/>
      </w:pPr>
      <w:rPr>
        <w:rFonts w:ascii="Helvetica Neue" w:hAnsi="Helvetica Neue" w:hint="default"/>
        <w:color w:val="E04307"/>
      </w:rPr>
    </w:lvl>
    <w:lvl w:ilvl="2">
      <w:start w:val="1"/>
      <w:numFmt w:val="bullet"/>
      <w:pStyle w:val="Bullet3"/>
      <w:lvlText w:val=""/>
      <w:lvlJc w:val="left"/>
      <w:pPr>
        <w:ind w:left="1437" w:hanging="360"/>
      </w:pPr>
      <w:rPr>
        <w:rFonts w:ascii="Wingdings" w:hAnsi="Wingdings" w:hint="default"/>
        <w:color w:val="4D64AF"/>
        <w:sz w:val="22"/>
      </w:rPr>
    </w:lvl>
    <w:lvl w:ilvl="3">
      <w:start w:val="1"/>
      <w:numFmt w:val="bullet"/>
      <w:lvlText w:val=""/>
      <w:lvlJc w:val="left"/>
      <w:pPr>
        <w:ind w:left="1797" w:hanging="360"/>
      </w:pPr>
      <w:rPr>
        <w:rFonts w:ascii="Symbol" w:hAnsi="Symbol" w:hint="default"/>
      </w:rPr>
    </w:lvl>
    <w:lvl w:ilvl="4">
      <w:start w:val="1"/>
      <w:numFmt w:val="bullet"/>
      <w:lvlText w:val=""/>
      <w:lvlJc w:val="left"/>
      <w:pPr>
        <w:ind w:left="2157" w:hanging="360"/>
      </w:pPr>
      <w:rPr>
        <w:rFonts w:ascii="Symbol" w:hAnsi="Symbol" w:hint="default"/>
      </w:rPr>
    </w:lvl>
    <w:lvl w:ilvl="5">
      <w:start w:val="1"/>
      <w:numFmt w:val="bullet"/>
      <w:lvlText w:val=""/>
      <w:lvlJc w:val="left"/>
      <w:pPr>
        <w:ind w:left="2517" w:hanging="360"/>
      </w:pPr>
      <w:rPr>
        <w:rFonts w:ascii="Wingdings" w:hAnsi="Wingdings" w:hint="default"/>
      </w:rPr>
    </w:lvl>
    <w:lvl w:ilvl="6">
      <w:start w:val="1"/>
      <w:numFmt w:val="bullet"/>
      <w:lvlText w:val=""/>
      <w:lvlJc w:val="left"/>
      <w:pPr>
        <w:ind w:left="2877" w:hanging="360"/>
      </w:pPr>
      <w:rPr>
        <w:rFonts w:ascii="Wingdings" w:hAnsi="Wingdings" w:hint="default"/>
      </w:rPr>
    </w:lvl>
    <w:lvl w:ilvl="7">
      <w:start w:val="1"/>
      <w:numFmt w:val="bullet"/>
      <w:lvlText w:val=""/>
      <w:lvlJc w:val="left"/>
      <w:pPr>
        <w:ind w:left="3237" w:hanging="360"/>
      </w:pPr>
      <w:rPr>
        <w:rFonts w:ascii="Symbol" w:hAnsi="Symbol" w:hint="default"/>
      </w:rPr>
    </w:lvl>
    <w:lvl w:ilvl="8">
      <w:start w:val="1"/>
      <w:numFmt w:val="bullet"/>
      <w:lvlText w:val=""/>
      <w:lvlJc w:val="left"/>
      <w:pPr>
        <w:ind w:left="3597" w:hanging="360"/>
      </w:pPr>
      <w:rPr>
        <w:rFonts w:ascii="Symbol" w:hAnsi="Symbol" w:hint="default"/>
      </w:rPr>
    </w:lvl>
  </w:abstractNum>
  <w:abstractNum w:abstractNumId="3" w15:restartNumberingAfterBreak="0">
    <w:nsid w:val="068716EF"/>
    <w:multiLevelType w:val="hybridMultilevel"/>
    <w:tmpl w:val="8DE86FC2"/>
    <w:lvl w:ilvl="0" w:tplc="D648086C">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D1E6454"/>
    <w:multiLevelType w:val="hybridMultilevel"/>
    <w:tmpl w:val="17464ED6"/>
    <w:lvl w:ilvl="0" w:tplc="C72EDA12">
      <w:start w:val="1"/>
      <w:numFmt w:val="decimalZero"/>
      <w:pStyle w:val="Heading3"/>
      <w:lvlText w:val="%1 "/>
      <w:lvlJc w:val="left"/>
      <w:pPr>
        <w:ind w:left="36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15:restartNumberingAfterBreak="0">
    <w:nsid w:val="2BC734AD"/>
    <w:multiLevelType w:val="multilevel"/>
    <w:tmpl w:val="919A3CCC"/>
    <w:lvl w:ilvl="0">
      <w:start w:val="1"/>
      <w:numFmt w:val="decimal"/>
      <w:lvlText w:val="%1."/>
      <w:lvlJc w:val="left"/>
      <w:pPr>
        <w:ind w:left="717" w:hanging="360"/>
      </w:pPr>
      <w:rPr>
        <w:rFonts w:ascii="Helvetica Neue" w:hAnsi="Helvetica Neue" w:hint="default"/>
        <w:b w:val="0"/>
        <w:i w:val="0"/>
        <w:color w:val="E04307"/>
        <w:sz w:val="22"/>
      </w:rPr>
    </w:lvl>
    <w:lvl w:ilvl="1">
      <w:start w:val="1"/>
      <w:numFmt w:val="lowerLetter"/>
      <w:pStyle w:val="Numbered2"/>
      <w:lvlText w:val="%2."/>
      <w:lvlJc w:val="left"/>
      <w:pPr>
        <w:ind w:left="1077" w:hanging="360"/>
      </w:pPr>
      <w:rPr>
        <w:rFonts w:hint="default"/>
        <w:b w:val="0"/>
        <w:i w:val="0"/>
        <w:color w:val="4D64AF"/>
        <w:sz w:val="22"/>
      </w:rPr>
    </w:lvl>
    <w:lvl w:ilvl="2">
      <w:start w:val="1"/>
      <w:numFmt w:val="lowerRoman"/>
      <w:lvlText w:val="%3."/>
      <w:lvlJc w:val="left"/>
      <w:pPr>
        <w:ind w:left="1437" w:hanging="360"/>
      </w:pPr>
      <w:rPr>
        <w:rFonts w:ascii="Helvetica Neue" w:hAnsi="Helvetica Neue" w:hint="default"/>
        <w:b w:val="0"/>
        <w:i w:val="0"/>
        <w:color w:val="E04307"/>
        <w:sz w:val="22"/>
      </w:rPr>
    </w:lvl>
    <w:lvl w:ilvl="3">
      <w:start w:val="1"/>
      <w:numFmt w:val="decimal"/>
      <w:lvlText w:val="(%4)"/>
      <w:lvlJc w:val="left"/>
      <w:pPr>
        <w:ind w:left="1797" w:hanging="360"/>
      </w:pPr>
      <w:rPr>
        <w:rFonts w:hint="default"/>
      </w:rPr>
    </w:lvl>
    <w:lvl w:ilvl="4">
      <w:start w:val="1"/>
      <w:numFmt w:val="lowerLetter"/>
      <w:lvlText w:val="(%5)"/>
      <w:lvlJc w:val="left"/>
      <w:pPr>
        <w:ind w:left="2157" w:hanging="360"/>
      </w:pPr>
      <w:rPr>
        <w:rFonts w:hint="default"/>
      </w:rPr>
    </w:lvl>
    <w:lvl w:ilvl="5">
      <w:start w:val="1"/>
      <w:numFmt w:val="lowerRoman"/>
      <w:lvlText w:val="(%6)"/>
      <w:lvlJc w:val="left"/>
      <w:pPr>
        <w:ind w:left="2517" w:hanging="360"/>
      </w:pPr>
      <w:rPr>
        <w:rFonts w:hint="default"/>
      </w:rPr>
    </w:lvl>
    <w:lvl w:ilvl="6">
      <w:start w:val="1"/>
      <w:numFmt w:val="decimal"/>
      <w:lvlText w:val="%7."/>
      <w:lvlJc w:val="left"/>
      <w:pPr>
        <w:ind w:left="2877" w:hanging="360"/>
      </w:pPr>
      <w:rPr>
        <w:rFonts w:hint="default"/>
      </w:rPr>
    </w:lvl>
    <w:lvl w:ilvl="7">
      <w:start w:val="1"/>
      <w:numFmt w:val="lowerLetter"/>
      <w:lvlText w:val="%8."/>
      <w:lvlJc w:val="left"/>
      <w:pPr>
        <w:ind w:left="3237" w:hanging="360"/>
      </w:pPr>
      <w:rPr>
        <w:rFonts w:hint="default"/>
      </w:rPr>
    </w:lvl>
    <w:lvl w:ilvl="8">
      <w:start w:val="1"/>
      <w:numFmt w:val="lowerRoman"/>
      <w:lvlText w:val="%9."/>
      <w:lvlJc w:val="left"/>
      <w:pPr>
        <w:ind w:left="3597" w:hanging="360"/>
      </w:pPr>
      <w:rPr>
        <w:rFonts w:hint="default"/>
      </w:rPr>
    </w:lvl>
  </w:abstractNum>
  <w:abstractNum w:abstractNumId="6" w15:restartNumberingAfterBreak="0">
    <w:nsid w:val="2DCE6A15"/>
    <w:multiLevelType w:val="multilevel"/>
    <w:tmpl w:val="9DECF958"/>
    <w:lvl w:ilvl="0">
      <w:start w:val="1"/>
      <w:numFmt w:val="bullet"/>
      <w:lvlText w:val=""/>
      <w:lvlJc w:val="left"/>
      <w:pPr>
        <w:ind w:left="717" w:hanging="360"/>
      </w:pPr>
      <w:rPr>
        <w:rFonts w:ascii="Symbol" w:hAnsi="Symbol" w:hint="default"/>
        <w:color w:val="E04307"/>
      </w:rPr>
    </w:lvl>
    <w:lvl w:ilvl="1">
      <w:start w:val="1"/>
      <w:numFmt w:val="bullet"/>
      <w:lvlText w:val="–"/>
      <w:lvlJc w:val="left"/>
      <w:pPr>
        <w:ind w:left="1077" w:hanging="360"/>
      </w:pPr>
      <w:rPr>
        <w:rFonts w:ascii="Helvetica Neue" w:hAnsi="Helvetica Neue" w:hint="default"/>
        <w:color w:val="E04307"/>
      </w:rPr>
    </w:lvl>
    <w:lvl w:ilvl="2">
      <w:start w:val="1"/>
      <w:numFmt w:val="bullet"/>
      <w:lvlText w:val=""/>
      <w:lvlJc w:val="left"/>
      <w:pPr>
        <w:ind w:left="1437" w:hanging="360"/>
      </w:pPr>
      <w:rPr>
        <w:rFonts w:ascii="Wingdings" w:hAnsi="Wingdings" w:hint="default"/>
        <w:color w:val="E04307"/>
        <w:sz w:val="22"/>
      </w:rPr>
    </w:lvl>
    <w:lvl w:ilvl="3">
      <w:start w:val="1"/>
      <w:numFmt w:val="bullet"/>
      <w:pStyle w:val="Heading4"/>
      <w:lvlText w:val=""/>
      <w:lvlJc w:val="left"/>
      <w:pPr>
        <w:ind w:left="1797" w:hanging="360"/>
      </w:pPr>
      <w:rPr>
        <w:rFonts w:ascii="Symbol" w:hAnsi="Symbol" w:hint="default"/>
      </w:rPr>
    </w:lvl>
    <w:lvl w:ilvl="4">
      <w:start w:val="1"/>
      <w:numFmt w:val="bullet"/>
      <w:lvlText w:val=""/>
      <w:lvlJc w:val="left"/>
      <w:pPr>
        <w:ind w:left="2157" w:hanging="360"/>
      </w:pPr>
      <w:rPr>
        <w:rFonts w:ascii="Symbol" w:hAnsi="Symbol" w:hint="default"/>
      </w:rPr>
    </w:lvl>
    <w:lvl w:ilvl="5">
      <w:start w:val="1"/>
      <w:numFmt w:val="bullet"/>
      <w:lvlText w:val=""/>
      <w:lvlJc w:val="left"/>
      <w:pPr>
        <w:ind w:left="2517" w:hanging="360"/>
      </w:pPr>
      <w:rPr>
        <w:rFonts w:ascii="Wingdings" w:hAnsi="Wingdings" w:hint="default"/>
      </w:rPr>
    </w:lvl>
    <w:lvl w:ilvl="6">
      <w:start w:val="1"/>
      <w:numFmt w:val="bullet"/>
      <w:lvlText w:val=""/>
      <w:lvlJc w:val="left"/>
      <w:pPr>
        <w:ind w:left="2877" w:hanging="360"/>
      </w:pPr>
      <w:rPr>
        <w:rFonts w:ascii="Wingdings" w:hAnsi="Wingdings" w:hint="default"/>
      </w:rPr>
    </w:lvl>
    <w:lvl w:ilvl="7">
      <w:start w:val="1"/>
      <w:numFmt w:val="bullet"/>
      <w:lvlText w:val=""/>
      <w:lvlJc w:val="left"/>
      <w:pPr>
        <w:ind w:left="3237" w:hanging="360"/>
      </w:pPr>
      <w:rPr>
        <w:rFonts w:ascii="Symbol" w:hAnsi="Symbol" w:hint="default"/>
      </w:rPr>
    </w:lvl>
    <w:lvl w:ilvl="8">
      <w:start w:val="1"/>
      <w:numFmt w:val="bullet"/>
      <w:lvlText w:val=""/>
      <w:lvlJc w:val="left"/>
      <w:pPr>
        <w:ind w:left="3597" w:hanging="360"/>
      </w:pPr>
      <w:rPr>
        <w:rFonts w:ascii="Symbol" w:hAnsi="Symbol" w:hint="default"/>
      </w:rPr>
    </w:lvl>
  </w:abstractNum>
  <w:abstractNum w:abstractNumId="7" w15:restartNumberingAfterBreak="0">
    <w:nsid w:val="40C468BB"/>
    <w:multiLevelType w:val="multilevel"/>
    <w:tmpl w:val="0A3E6B48"/>
    <w:lvl w:ilvl="0">
      <w:start w:val="1"/>
      <w:numFmt w:val="bullet"/>
      <w:lvlText w:val=""/>
      <w:lvlJc w:val="left"/>
      <w:pPr>
        <w:ind w:left="717" w:hanging="360"/>
      </w:pPr>
      <w:rPr>
        <w:rFonts w:ascii="Symbol" w:hAnsi="Symbol" w:hint="default"/>
        <w:color w:val="E04307"/>
      </w:rPr>
    </w:lvl>
    <w:lvl w:ilvl="1">
      <w:start w:val="1"/>
      <w:numFmt w:val="bullet"/>
      <w:pStyle w:val="Bullet2"/>
      <w:lvlText w:val=""/>
      <w:lvlJc w:val="left"/>
      <w:pPr>
        <w:ind w:left="1077" w:hanging="360"/>
      </w:pPr>
      <w:rPr>
        <w:rFonts w:ascii="Symbol" w:hAnsi="Symbol" w:hint="default"/>
        <w:color w:val="4D64AF"/>
      </w:rPr>
    </w:lvl>
    <w:lvl w:ilvl="2">
      <w:start w:val="1"/>
      <w:numFmt w:val="bullet"/>
      <w:lvlText w:val=""/>
      <w:lvlJc w:val="left"/>
      <w:pPr>
        <w:ind w:left="1437" w:hanging="360"/>
      </w:pPr>
      <w:rPr>
        <w:rFonts w:ascii="Wingdings" w:hAnsi="Wingdings" w:hint="default"/>
        <w:color w:val="E04307"/>
        <w:sz w:val="22"/>
      </w:rPr>
    </w:lvl>
    <w:lvl w:ilvl="3">
      <w:start w:val="1"/>
      <w:numFmt w:val="bullet"/>
      <w:lvlText w:val=""/>
      <w:lvlJc w:val="left"/>
      <w:pPr>
        <w:ind w:left="1797" w:hanging="360"/>
      </w:pPr>
      <w:rPr>
        <w:rFonts w:ascii="Symbol" w:hAnsi="Symbol" w:hint="default"/>
      </w:rPr>
    </w:lvl>
    <w:lvl w:ilvl="4">
      <w:start w:val="1"/>
      <w:numFmt w:val="bullet"/>
      <w:lvlText w:val=""/>
      <w:lvlJc w:val="left"/>
      <w:pPr>
        <w:ind w:left="2157" w:hanging="360"/>
      </w:pPr>
      <w:rPr>
        <w:rFonts w:ascii="Symbol" w:hAnsi="Symbol" w:hint="default"/>
      </w:rPr>
    </w:lvl>
    <w:lvl w:ilvl="5">
      <w:start w:val="1"/>
      <w:numFmt w:val="bullet"/>
      <w:lvlText w:val=""/>
      <w:lvlJc w:val="left"/>
      <w:pPr>
        <w:ind w:left="2517" w:hanging="360"/>
      </w:pPr>
      <w:rPr>
        <w:rFonts w:ascii="Wingdings" w:hAnsi="Wingdings" w:hint="default"/>
      </w:rPr>
    </w:lvl>
    <w:lvl w:ilvl="6">
      <w:start w:val="1"/>
      <w:numFmt w:val="bullet"/>
      <w:lvlText w:val=""/>
      <w:lvlJc w:val="left"/>
      <w:pPr>
        <w:ind w:left="2877" w:hanging="360"/>
      </w:pPr>
      <w:rPr>
        <w:rFonts w:ascii="Wingdings" w:hAnsi="Wingdings" w:hint="default"/>
      </w:rPr>
    </w:lvl>
    <w:lvl w:ilvl="7">
      <w:start w:val="1"/>
      <w:numFmt w:val="bullet"/>
      <w:lvlText w:val=""/>
      <w:lvlJc w:val="left"/>
      <w:pPr>
        <w:ind w:left="3237" w:hanging="360"/>
      </w:pPr>
      <w:rPr>
        <w:rFonts w:ascii="Symbol" w:hAnsi="Symbol" w:hint="default"/>
      </w:rPr>
    </w:lvl>
    <w:lvl w:ilvl="8">
      <w:start w:val="1"/>
      <w:numFmt w:val="bullet"/>
      <w:lvlText w:val=""/>
      <w:lvlJc w:val="left"/>
      <w:pPr>
        <w:ind w:left="3597" w:hanging="360"/>
      </w:pPr>
      <w:rPr>
        <w:rFonts w:ascii="Symbol" w:hAnsi="Symbol" w:hint="default"/>
      </w:rPr>
    </w:lvl>
  </w:abstractNum>
  <w:abstractNum w:abstractNumId="8" w15:restartNumberingAfterBreak="0">
    <w:nsid w:val="420911BA"/>
    <w:multiLevelType w:val="hybridMultilevel"/>
    <w:tmpl w:val="263AFCD6"/>
    <w:lvl w:ilvl="0" w:tplc="3836F642">
      <w:start w:val="1"/>
      <w:numFmt w:val="bullet"/>
      <w:pStyle w:val="TableBullet1"/>
      <w:lvlText w:val=""/>
      <w:lvlJc w:val="left"/>
      <w:pPr>
        <w:ind w:left="360" w:hanging="360"/>
      </w:pPr>
      <w:rPr>
        <w:rFonts w:ascii="Symbol" w:hAnsi="Symbol" w:hint="default"/>
        <w:color w:val="4D64AF"/>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2C84259"/>
    <w:multiLevelType w:val="multilevel"/>
    <w:tmpl w:val="627A6E48"/>
    <w:lvl w:ilvl="0">
      <w:start w:val="1"/>
      <w:numFmt w:val="bullet"/>
      <w:lvlText w:val=""/>
      <w:lvlJc w:val="left"/>
      <w:pPr>
        <w:ind w:left="717" w:hanging="360"/>
      </w:pPr>
      <w:rPr>
        <w:rFonts w:ascii="Symbol" w:hAnsi="Symbol" w:hint="default"/>
        <w:color w:val="E04307"/>
      </w:rPr>
    </w:lvl>
    <w:lvl w:ilvl="1">
      <w:start w:val="1"/>
      <w:numFmt w:val="bullet"/>
      <w:lvlText w:val="–"/>
      <w:lvlJc w:val="left"/>
      <w:pPr>
        <w:ind w:left="1077" w:hanging="360"/>
      </w:pPr>
      <w:rPr>
        <w:rFonts w:ascii="Helvetica Neue" w:hAnsi="Helvetica Neue" w:hint="default"/>
        <w:color w:val="E04307"/>
      </w:rPr>
    </w:lvl>
    <w:lvl w:ilvl="2">
      <w:start w:val="1"/>
      <w:numFmt w:val="bullet"/>
      <w:lvlText w:val=""/>
      <w:lvlJc w:val="left"/>
      <w:pPr>
        <w:ind w:left="1437" w:hanging="360"/>
      </w:pPr>
      <w:rPr>
        <w:rFonts w:ascii="Wingdings" w:hAnsi="Wingdings" w:hint="default"/>
        <w:color w:val="4D64AF"/>
        <w:sz w:val="22"/>
      </w:rPr>
    </w:lvl>
    <w:lvl w:ilvl="3">
      <w:start w:val="1"/>
      <w:numFmt w:val="bullet"/>
      <w:lvlText w:val=""/>
      <w:lvlJc w:val="left"/>
      <w:pPr>
        <w:ind w:left="1797" w:hanging="360"/>
      </w:pPr>
      <w:rPr>
        <w:rFonts w:ascii="Symbol" w:hAnsi="Symbol" w:hint="default"/>
      </w:rPr>
    </w:lvl>
    <w:lvl w:ilvl="4">
      <w:start w:val="1"/>
      <w:numFmt w:val="bullet"/>
      <w:lvlText w:val=""/>
      <w:lvlJc w:val="left"/>
      <w:pPr>
        <w:ind w:left="2157" w:hanging="360"/>
      </w:pPr>
      <w:rPr>
        <w:rFonts w:ascii="Symbol" w:hAnsi="Symbol" w:hint="default"/>
      </w:rPr>
    </w:lvl>
    <w:lvl w:ilvl="5">
      <w:start w:val="1"/>
      <w:numFmt w:val="bullet"/>
      <w:lvlText w:val=""/>
      <w:lvlJc w:val="left"/>
      <w:pPr>
        <w:ind w:left="2517" w:hanging="360"/>
      </w:pPr>
      <w:rPr>
        <w:rFonts w:ascii="Wingdings" w:hAnsi="Wingdings" w:hint="default"/>
      </w:rPr>
    </w:lvl>
    <w:lvl w:ilvl="6">
      <w:start w:val="1"/>
      <w:numFmt w:val="bullet"/>
      <w:lvlText w:val=""/>
      <w:lvlJc w:val="left"/>
      <w:pPr>
        <w:ind w:left="2877" w:hanging="360"/>
      </w:pPr>
      <w:rPr>
        <w:rFonts w:ascii="Wingdings" w:hAnsi="Wingdings" w:hint="default"/>
      </w:rPr>
    </w:lvl>
    <w:lvl w:ilvl="7">
      <w:start w:val="1"/>
      <w:numFmt w:val="bullet"/>
      <w:lvlText w:val=""/>
      <w:lvlJc w:val="left"/>
      <w:pPr>
        <w:ind w:left="3237" w:hanging="360"/>
      </w:pPr>
      <w:rPr>
        <w:rFonts w:ascii="Symbol" w:hAnsi="Symbol" w:hint="default"/>
      </w:rPr>
    </w:lvl>
    <w:lvl w:ilvl="8">
      <w:start w:val="1"/>
      <w:numFmt w:val="bullet"/>
      <w:lvlText w:val=""/>
      <w:lvlJc w:val="left"/>
      <w:pPr>
        <w:ind w:left="3597" w:hanging="360"/>
      </w:pPr>
      <w:rPr>
        <w:rFonts w:ascii="Symbol" w:hAnsi="Symbol" w:hint="default"/>
      </w:rPr>
    </w:lvl>
  </w:abstractNum>
  <w:abstractNum w:abstractNumId="10" w15:restartNumberingAfterBreak="0">
    <w:nsid w:val="4AC77BE7"/>
    <w:multiLevelType w:val="hybridMultilevel"/>
    <w:tmpl w:val="B7CCB464"/>
    <w:lvl w:ilvl="0" w:tplc="D5D866C2">
      <w:start w:val="1"/>
      <w:numFmt w:val="bullet"/>
      <w:pStyle w:val="WasaBullet1"/>
      <w:lvlText w:val=""/>
      <w:lvlJc w:val="left"/>
      <w:pPr>
        <w:ind w:left="360" w:hanging="360"/>
      </w:pPr>
      <w:rPr>
        <w:rFonts w:ascii="Symbol" w:hAnsi="Symbol" w:hint="default"/>
        <w:color w:val="F15A25"/>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5D50D6F"/>
    <w:multiLevelType w:val="multilevel"/>
    <w:tmpl w:val="155E1C7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2" w15:restartNumberingAfterBreak="0">
    <w:nsid w:val="633C41F2"/>
    <w:multiLevelType w:val="hybridMultilevel"/>
    <w:tmpl w:val="F44C8CB6"/>
    <w:lvl w:ilvl="0" w:tplc="BE52E02C">
      <w:start w:val="1"/>
      <w:numFmt w:val="decimal"/>
      <w:pStyle w:val="TableNumbered1"/>
      <w:lvlText w:val="%1."/>
      <w:lvlJc w:val="left"/>
      <w:pPr>
        <w:ind w:left="360" w:hanging="360"/>
      </w:pPr>
      <w:rPr>
        <w:rFonts w:hint="default"/>
        <w:color w:val="4D64AF"/>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95070B7"/>
    <w:multiLevelType w:val="hybridMultilevel"/>
    <w:tmpl w:val="BB682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F5B3D87"/>
    <w:multiLevelType w:val="multilevel"/>
    <w:tmpl w:val="2BC47AD8"/>
    <w:lvl w:ilvl="0">
      <w:start w:val="1"/>
      <w:numFmt w:val="decimal"/>
      <w:lvlText w:val="%1."/>
      <w:lvlJc w:val="left"/>
      <w:pPr>
        <w:ind w:left="717" w:hanging="360"/>
      </w:pPr>
      <w:rPr>
        <w:rFonts w:ascii="Helvetica Neue" w:hAnsi="Helvetica Neue" w:hint="default"/>
        <w:b w:val="0"/>
        <w:i w:val="0"/>
        <w:color w:val="E04307"/>
        <w:sz w:val="22"/>
      </w:rPr>
    </w:lvl>
    <w:lvl w:ilvl="1">
      <w:start w:val="1"/>
      <w:numFmt w:val="lowerLetter"/>
      <w:lvlText w:val="%2."/>
      <w:lvlJc w:val="left"/>
      <w:pPr>
        <w:ind w:left="1077" w:hanging="360"/>
      </w:pPr>
      <w:rPr>
        <w:rFonts w:hint="default"/>
        <w:b w:val="0"/>
        <w:i w:val="0"/>
        <w:color w:val="4D64AF"/>
        <w:sz w:val="22"/>
      </w:rPr>
    </w:lvl>
    <w:lvl w:ilvl="2">
      <w:start w:val="1"/>
      <w:numFmt w:val="lowerRoman"/>
      <w:pStyle w:val="Numbered3"/>
      <w:lvlText w:val="%3."/>
      <w:lvlJc w:val="left"/>
      <w:pPr>
        <w:ind w:left="1437" w:hanging="360"/>
      </w:pPr>
      <w:rPr>
        <w:rFonts w:hint="default"/>
        <w:b w:val="0"/>
        <w:i w:val="0"/>
        <w:color w:val="4D64AF"/>
        <w:sz w:val="22"/>
      </w:rPr>
    </w:lvl>
    <w:lvl w:ilvl="3">
      <w:start w:val="1"/>
      <w:numFmt w:val="decimal"/>
      <w:lvlText w:val="(%4)"/>
      <w:lvlJc w:val="left"/>
      <w:pPr>
        <w:ind w:left="1797" w:hanging="360"/>
      </w:pPr>
      <w:rPr>
        <w:rFonts w:hint="default"/>
      </w:rPr>
    </w:lvl>
    <w:lvl w:ilvl="4">
      <w:start w:val="1"/>
      <w:numFmt w:val="lowerLetter"/>
      <w:lvlText w:val="(%5)"/>
      <w:lvlJc w:val="left"/>
      <w:pPr>
        <w:ind w:left="2157" w:hanging="360"/>
      </w:pPr>
      <w:rPr>
        <w:rFonts w:hint="default"/>
      </w:rPr>
    </w:lvl>
    <w:lvl w:ilvl="5">
      <w:start w:val="1"/>
      <w:numFmt w:val="lowerRoman"/>
      <w:lvlText w:val="(%6)"/>
      <w:lvlJc w:val="left"/>
      <w:pPr>
        <w:ind w:left="2517" w:hanging="360"/>
      </w:pPr>
      <w:rPr>
        <w:rFonts w:hint="default"/>
      </w:rPr>
    </w:lvl>
    <w:lvl w:ilvl="6">
      <w:start w:val="1"/>
      <w:numFmt w:val="decimal"/>
      <w:lvlText w:val="%7."/>
      <w:lvlJc w:val="left"/>
      <w:pPr>
        <w:ind w:left="2877" w:hanging="360"/>
      </w:pPr>
      <w:rPr>
        <w:rFonts w:hint="default"/>
      </w:rPr>
    </w:lvl>
    <w:lvl w:ilvl="7">
      <w:start w:val="1"/>
      <w:numFmt w:val="lowerLetter"/>
      <w:lvlText w:val="%8."/>
      <w:lvlJc w:val="left"/>
      <w:pPr>
        <w:ind w:left="3237" w:hanging="360"/>
      </w:pPr>
      <w:rPr>
        <w:rFonts w:hint="default"/>
      </w:rPr>
    </w:lvl>
    <w:lvl w:ilvl="8">
      <w:start w:val="1"/>
      <w:numFmt w:val="lowerRoman"/>
      <w:lvlText w:val="%9."/>
      <w:lvlJc w:val="left"/>
      <w:pPr>
        <w:ind w:left="3597" w:hanging="360"/>
      </w:pPr>
      <w:rPr>
        <w:rFonts w:hint="default"/>
      </w:rPr>
    </w:lvl>
  </w:abstractNum>
  <w:abstractNum w:abstractNumId="15" w15:restartNumberingAfterBreak="0">
    <w:nsid w:val="7C0F2DF9"/>
    <w:multiLevelType w:val="multilevel"/>
    <w:tmpl w:val="DCDC9B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312493344">
    <w:abstractNumId w:val="1"/>
  </w:num>
  <w:num w:numId="2" w16cid:durableId="1712223743">
    <w:abstractNumId w:val="12"/>
  </w:num>
  <w:num w:numId="3" w16cid:durableId="1905677627">
    <w:abstractNumId w:val="4"/>
  </w:num>
  <w:num w:numId="4" w16cid:durableId="1386951085">
    <w:abstractNumId w:val="5"/>
  </w:num>
  <w:num w:numId="5" w16cid:durableId="1188324544">
    <w:abstractNumId w:val="6"/>
  </w:num>
  <w:num w:numId="6" w16cid:durableId="1497453673">
    <w:abstractNumId w:val="0"/>
  </w:num>
  <w:num w:numId="7" w16cid:durableId="1791897758">
    <w:abstractNumId w:val="12"/>
    <w:lvlOverride w:ilvl="0">
      <w:startOverride w:val="1"/>
    </w:lvlOverride>
  </w:num>
  <w:num w:numId="8" w16cid:durableId="1369794033">
    <w:abstractNumId w:val="12"/>
    <w:lvlOverride w:ilvl="0">
      <w:startOverride w:val="1"/>
    </w:lvlOverride>
  </w:num>
  <w:num w:numId="9" w16cid:durableId="2036807718">
    <w:abstractNumId w:val="10"/>
  </w:num>
  <w:num w:numId="10" w16cid:durableId="5132315">
    <w:abstractNumId w:val="8"/>
  </w:num>
  <w:num w:numId="11" w16cid:durableId="2007200657">
    <w:abstractNumId w:val="7"/>
  </w:num>
  <w:num w:numId="12" w16cid:durableId="1374037238">
    <w:abstractNumId w:val="14"/>
  </w:num>
  <w:num w:numId="13" w16cid:durableId="1501237552">
    <w:abstractNumId w:val="2"/>
  </w:num>
  <w:num w:numId="14" w16cid:durableId="665400710">
    <w:abstractNumId w:val="13"/>
  </w:num>
  <w:num w:numId="15" w16cid:durableId="1701122601">
    <w:abstractNumId w:val="9"/>
  </w:num>
  <w:num w:numId="16" w16cid:durableId="1527014420">
    <w:abstractNumId w:val="11"/>
  </w:num>
  <w:num w:numId="17" w16cid:durableId="299268073">
    <w:abstractNumId w:val="3"/>
  </w:num>
  <w:num w:numId="18" w16cid:durableId="588120432">
    <w:abstractNumId w:val="1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5"/>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CAD"/>
    <w:rsid w:val="00002A62"/>
    <w:rsid w:val="00007B41"/>
    <w:rsid w:val="00011EBE"/>
    <w:rsid w:val="00012423"/>
    <w:rsid w:val="0002042A"/>
    <w:rsid w:val="00023170"/>
    <w:rsid w:val="00041DB3"/>
    <w:rsid w:val="00084641"/>
    <w:rsid w:val="000964B1"/>
    <w:rsid w:val="000A163A"/>
    <w:rsid w:val="000C1D85"/>
    <w:rsid w:val="000D38B0"/>
    <w:rsid w:val="000D49C8"/>
    <w:rsid w:val="00100022"/>
    <w:rsid w:val="00100C80"/>
    <w:rsid w:val="00101808"/>
    <w:rsid w:val="00102444"/>
    <w:rsid w:val="00110C91"/>
    <w:rsid w:val="0011419D"/>
    <w:rsid w:val="001155E7"/>
    <w:rsid w:val="001421CD"/>
    <w:rsid w:val="001424E7"/>
    <w:rsid w:val="00143C67"/>
    <w:rsid w:val="00144C56"/>
    <w:rsid w:val="0015316D"/>
    <w:rsid w:val="00165437"/>
    <w:rsid w:val="00165552"/>
    <w:rsid w:val="001660AB"/>
    <w:rsid w:val="001821FE"/>
    <w:rsid w:val="0018615B"/>
    <w:rsid w:val="00186EED"/>
    <w:rsid w:val="001A0329"/>
    <w:rsid w:val="001B38C5"/>
    <w:rsid w:val="001B71AC"/>
    <w:rsid w:val="001D6967"/>
    <w:rsid w:val="001F06DE"/>
    <w:rsid w:val="001F06FE"/>
    <w:rsid w:val="001F14C4"/>
    <w:rsid w:val="002008B1"/>
    <w:rsid w:val="0020729E"/>
    <w:rsid w:val="00210FA7"/>
    <w:rsid w:val="00240F14"/>
    <w:rsid w:val="00262CD3"/>
    <w:rsid w:val="00263B50"/>
    <w:rsid w:val="00265AD9"/>
    <w:rsid w:val="00287F2A"/>
    <w:rsid w:val="00290387"/>
    <w:rsid w:val="002A7A6C"/>
    <w:rsid w:val="002D0678"/>
    <w:rsid w:val="002F2C4C"/>
    <w:rsid w:val="002F4754"/>
    <w:rsid w:val="00313040"/>
    <w:rsid w:val="003157D7"/>
    <w:rsid w:val="00322E80"/>
    <w:rsid w:val="00324DBC"/>
    <w:rsid w:val="00327179"/>
    <w:rsid w:val="003316D5"/>
    <w:rsid w:val="0033190D"/>
    <w:rsid w:val="003348ED"/>
    <w:rsid w:val="00337A2A"/>
    <w:rsid w:val="00343D7E"/>
    <w:rsid w:val="00345EE4"/>
    <w:rsid w:val="00350469"/>
    <w:rsid w:val="003613B2"/>
    <w:rsid w:val="00392C77"/>
    <w:rsid w:val="003A6FE8"/>
    <w:rsid w:val="003B06BB"/>
    <w:rsid w:val="003B57F9"/>
    <w:rsid w:val="003C38B1"/>
    <w:rsid w:val="003D373A"/>
    <w:rsid w:val="003E0AB3"/>
    <w:rsid w:val="003E3740"/>
    <w:rsid w:val="003E416C"/>
    <w:rsid w:val="004144E1"/>
    <w:rsid w:val="00446D38"/>
    <w:rsid w:val="0046025C"/>
    <w:rsid w:val="004670BB"/>
    <w:rsid w:val="0047375D"/>
    <w:rsid w:val="00490A5C"/>
    <w:rsid w:val="004B1100"/>
    <w:rsid w:val="004B22F7"/>
    <w:rsid w:val="004B5D8F"/>
    <w:rsid w:val="004D09C6"/>
    <w:rsid w:val="004D2A18"/>
    <w:rsid w:val="004D4DF8"/>
    <w:rsid w:val="004F2232"/>
    <w:rsid w:val="004F4BD9"/>
    <w:rsid w:val="0052091C"/>
    <w:rsid w:val="00525420"/>
    <w:rsid w:val="005638AD"/>
    <w:rsid w:val="00571B82"/>
    <w:rsid w:val="00573970"/>
    <w:rsid w:val="005779AE"/>
    <w:rsid w:val="00596820"/>
    <w:rsid w:val="005A0FBA"/>
    <w:rsid w:val="005A1BAC"/>
    <w:rsid w:val="005A52E2"/>
    <w:rsid w:val="005A5AAD"/>
    <w:rsid w:val="005B2CE3"/>
    <w:rsid w:val="005C5293"/>
    <w:rsid w:val="005D73C2"/>
    <w:rsid w:val="005D79E5"/>
    <w:rsid w:val="005E7EE1"/>
    <w:rsid w:val="00602AA9"/>
    <w:rsid w:val="00603636"/>
    <w:rsid w:val="006057B2"/>
    <w:rsid w:val="00606DDD"/>
    <w:rsid w:val="006320B9"/>
    <w:rsid w:val="0064372D"/>
    <w:rsid w:val="006465DA"/>
    <w:rsid w:val="00651128"/>
    <w:rsid w:val="00655115"/>
    <w:rsid w:val="00655A74"/>
    <w:rsid w:val="00663667"/>
    <w:rsid w:val="00682893"/>
    <w:rsid w:val="00686F48"/>
    <w:rsid w:val="006A145A"/>
    <w:rsid w:val="006B0F8E"/>
    <w:rsid w:val="006B3623"/>
    <w:rsid w:val="006D771C"/>
    <w:rsid w:val="007100FC"/>
    <w:rsid w:val="0072283D"/>
    <w:rsid w:val="00730A1A"/>
    <w:rsid w:val="00753015"/>
    <w:rsid w:val="00762073"/>
    <w:rsid w:val="00762768"/>
    <w:rsid w:val="0076482F"/>
    <w:rsid w:val="00773C6F"/>
    <w:rsid w:val="00777544"/>
    <w:rsid w:val="00781744"/>
    <w:rsid w:val="00786242"/>
    <w:rsid w:val="00792F13"/>
    <w:rsid w:val="00797A1B"/>
    <w:rsid w:val="007A66CB"/>
    <w:rsid w:val="007C07C0"/>
    <w:rsid w:val="007C2E26"/>
    <w:rsid w:val="007C6D7F"/>
    <w:rsid w:val="007F301D"/>
    <w:rsid w:val="007F393C"/>
    <w:rsid w:val="008063C7"/>
    <w:rsid w:val="008222F4"/>
    <w:rsid w:val="00830C8B"/>
    <w:rsid w:val="00856464"/>
    <w:rsid w:val="00856ABB"/>
    <w:rsid w:val="00857045"/>
    <w:rsid w:val="00860B17"/>
    <w:rsid w:val="00860EC9"/>
    <w:rsid w:val="00862462"/>
    <w:rsid w:val="00864CAD"/>
    <w:rsid w:val="00886C93"/>
    <w:rsid w:val="00892343"/>
    <w:rsid w:val="00895229"/>
    <w:rsid w:val="008A06A2"/>
    <w:rsid w:val="008C18A2"/>
    <w:rsid w:val="008D2F58"/>
    <w:rsid w:val="008E2511"/>
    <w:rsid w:val="008F510E"/>
    <w:rsid w:val="00900FF5"/>
    <w:rsid w:val="0093194E"/>
    <w:rsid w:val="009367CF"/>
    <w:rsid w:val="00942362"/>
    <w:rsid w:val="00944005"/>
    <w:rsid w:val="0095094A"/>
    <w:rsid w:val="00960C70"/>
    <w:rsid w:val="0096459E"/>
    <w:rsid w:val="0098091B"/>
    <w:rsid w:val="0099686C"/>
    <w:rsid w:val="009971D3"/>
    <w:rsid w:val="009A1BB1"/>
    <w:rsid w:val="009A4B18"/>
    <w:rsid w:val="009B10D4"/>
    <w:rsid w:val="009B26AC"/>
    <w:rsid w:val="009B5D56"/>
    <w:rsid w:val="009D08B7"/>
    <w:rsid w:val="009F0AE2"/>
    <w:rsid w:val="009F2543"/>
    <w:rsid w:val="00A07739"/>
    <w:rsid w:val="00A1521E"/>
    <w:rsid w:val="00A34D83"/>
    <w:rsid w:val="00A40407"/>
    <w:rsid w:val="00A4574B"/>
    <w:rsid w:val="00A53741"/>
    <w:rsid w:val="00A53CF5"/>
    <w:rsid w:val="00A64583"/>
    <w:rsid w:val="00A66F63"/>
    <w:rsid w:val="00A75C9D"/>
    <w:rsid w:val="00A840F7"/>
    <w:rsid w:val="00AB4314"/>
    <w:rsid w:val="00AB4B9C"/>
    <w:rsid w:val="00AB54ED"/>
    <w:rsid w:val="00AC00C4"/>
    <w:rsid w:val="00AC2B81"/>
    <w:rsid w:val="00AC4320"/>
    <w:rsid w:val="00AF1918"/>
    <w:rsid w:val="00AF2ECC"/>
    <w:rsid w:val="00B06E43"/>
    <w:rsid w:val="00B30F32"/>
    <w:rsid w:val="00B33F06"/>
    <w:rsid w:val="00B4260B"/>
    <w:rsid w:val="00B51011"/>
    <w:rsid w:val="00B727D6"/>
    <w:rsid w:val="00B924A0"/>
    <w:rsid w:val="00B92857"/>
    <w:rsid w:val="00B93697"/>
    <w:rsid w:val="00B94C2F"/>
    <w:rsid w:val="00B95A49"/>
    <w:rsid w:val="00BA4928"/>
    <w:rsid w:val="00BC464C"/>
    <w:rsid w:val="00BD54C0"/>
    <w:rsid w:val="00C11A00"/>
    <w:rsid w:val="00C13F1F"/>
    <w:rsid w:val="00C236D4"/>
    <w:rsid w:val="00C2506A"/>
    <w:rsid w:val="00C368BA"/>
    <w:rsid w:val="00C5037E"/>
    <w:rsid w:val="00C61E59"/>
    <w:rsid w:val="00C64753"/>
    <w:rsid w:val="00C65876"/>
    <w:rsid w:val="00C93EF1"/>
    <w:rsid w:val="00CB443C"/>
    <w:rsid w:val="00CD07CF"/>
    <w:rsid w:val="00CD6DED"/>
    <w:rsid w:val="00CE26AA"/>
    <w:rsid w:val="00D03C8A"/>
    <w:rsid w:val="00D03F3F"/>
    <w:rsid w:val="00D10DB5"/>
    <w:rsid w:val="00D13B62"/>
    <w:rsid w:val="00D14827"/>
    <w:rsid w:val="00D161D6"/>
    <w:rsid w:val="00D21A98"/>
    <w:rsid w:val="00D24DD3"/>
    <w:rsid w:val="00D27C9B"/>
    <w:rsid w:val="00D40218"/>
    <w:rsid w:val="00D61E7C"/>
    <w:rsid w:val="00DA6071"/>
    <w:rsid w:val="00DA771C"/>
    <w:rsid w:val="00DB4789"/>
    <w:rsid w:val="00DB74B7"/>
    <w:rsid w:val="00DC069E"/>
    <w:rsid w:val="00DC40DC"/>
    <w:rsid w:val="00DD5C7C"/>
    <w:rsid w:val="00DF0551"/>
    <w:rsid w:val="00E00925"/>
    <w:rsid w:val="00E15656"/>
    <w:rsid w:val="00E15EF3"/>
    <w:rsid w:val="00E2208D"/>
    <w:rsid w:val="00E25383"/>
    <w:rsid w:val="00E330A9"/>
    <w:rsid w:val="00E50560"/>
    <w:rsid w:val="00E508C4"/>
    <w:rsid w:val="00E574E7"/>
    <w:rsid w:val="00E66FE8"/>
    <w:rsid w:val="00E741B5"/>
    <w:rsid w:val="00EA758B"/>
    <w:rsid w:val="00ED71F7"/>
    <w:rsid w:val="00ED7796"/>
    <w:rsid w:val="00EF3043"/>
    <w:rsid w:val="00F111A4"/>
    <w:rsid w:val="00F25030"/>
    <w:rsid w:val="00F26803"/>
    <w:rsid w:val="00F315C3"/>
    <w:rsid w:val="00F369AD"/>
    <w:rsid w:val="00F412A0"/>
    <w:rsid w:val="00F4160C"/>
    <w:rsid w:val="00F4746D"/>
    <w:rsid w:val="00F479AE"/>
    <w:rsid w:val="00F517E3"/>
    <w:rsid w:val="00F522E2"/>
    <w:rsid w:val="00F56150"/>
    <w:rsid w:val="00F60134"/>
    <w:rsid w:val="00F62013"/>
    <w:rsid w:val="00F67D62"/>
    <w:rsid w:val="00F718AF"/>
    <w:rsid w:val="00F81502"/>
    <w:rsid w:val="00F81756"/>
    <w:rsid w:val="00F927A5"/>
    <w:rsid w:val="00F92D2D"/>
    <w:rsid w:val="00F95839"/>
    <w:rsid w:val="00FA0F95"/>
    <w:rsid w:val="00FA2BBE"/>
    <w:rsid w:val="00FA6CED"/>
    <w:rsid w:val="00FC412F"/>
    <w:rsid w:val="00FC6425"/>
    <w:rsid w:val="00FD107E"/>
    <w:rsid w:val="00FF449A"/>
    <w:rsid w:val="00FF45FF"/>
    <w:rsid w:val="00FF51AA"/>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8C8186"/>
  <w15:chartTrackingRefBased/>
  <w15:docId w15:val="{317D2FBF-42E9-D24B-8FFF-663184FE7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PH"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786242"/>
    <w:rPr>
      <w:rFonts w:ascii="TT Commons" w:hAnsi="TT Commons"/>
      <w:color w:val="3F3F3F" w:themeColor="text1"/>
      <w:sz w:val="22"/>
      <w:lang w:val="en-GB"/>
    </w:rPr>
  </w:style>
  <w:style w:type="paragraph" w:styleId="Heading1">
    <w:name w:val="heading 1"/>
    <w:aliases w:val="Wasa Page Title"/>
    <w:basedOn w:val="Normal"/>
    <w:next w:val="Normal"/>
    <w:link w:val="Heading1Char"/>
    <w:uiPriority w:val="9"/>
    <w:rsid w:val="00F95839"/>
    <w:pPr>
      <w:keepNext/>
      <w:keepLines/>
      <w:pBdr>
        <w:top w:val="single" w:sz="4" w:space="1" w:color="auto"/>
      </w:pBdr>
      <w:spacing w:before="240"/>
      <w:outlineLvl w:val="0"/>
    </w:pPr>
    <w:rPr>
      <w:rFonts w:ascii="Iowan Old Style" w:eastAsiaTheme="majorEastAsia" w:hAnsi="Iowan Old Style" w:cstheme="majorBidi"/>
      <w:b/>
      <w:color w:val="E04307"/>
      <w:sz w:val="52"/>
      <w:szCs w:val="32"/>
    </w:rPr>
  </w:style>
  <w:style w:type="paragraph" w:styleId="Heading2">
    <w:name w:val="heading 2"/>
    <w:aliases w:val="y"/>
    <w:basedOn w:val="Normal"/>
    <w:next w:val="Normal"/>
    <w:link w:val="Heading2Char"/>
    <w:uiPriority w:val="9"/>
    <w:unhideWhenUsed/>
    <w:rsid w:val="00602AA9"/>
    <w:pPr>
      <w:keepNext/>
      <w:keepLines/>
      <w:spacing w:before="40"/>
      <w:outlineLvl w:val="1"/>
    </w:pPr>
    <w:rPr>
      <w:rFonts w:eastAsiaTheme="majorEastAsia" w:cstheme="majorBidi"/>
      <w:b/>
      <w:szCs w:val="26"/>
    </w:rPr>
  </w:style>
  <w:style w:type="paragraph" w:styleId="Heading3">
    <w:name w:val="heading 3"/>
    <w:aliases w:val="Wasa Header 1"/>
    <w:basedOn w:val="Normal"/>
    <w:next w:val="Heading1"/>
    <w:link w:val="Heading3Char"/>
    <w:uiPriority w:val="9"/>
    <w:unhideWhenUsed/>
    <w:rsid w:val="00602AA9"/>
    <w:pPr>
      <w:keepNext/>
      <w:keepLines/>
      <w:numPr>
        <w:numId w:val="3"/>
      </w:numPr>
      <w:pBdr>
        <w:top w:val="single" w:sz="2" w:space="1" w:color="6F6F6F" w:themeColor="text1" w:themeTint="BF"/>
      </w:pBdr>
      <w:adjustRightInd w:val="0"/>
      <w:spacing w:before="100" w:after="100"/>
      <w:outlineLvl w:val="2"/>
    </w:pPr>
    <w:rPr>
      <w:rFonts w:ascii="Iowan Old Style" w:eastAsiaTheme="majorEastAsia" w:hAnsi="Iowan Old Style" w:cstheme="majorBidi"/>
      <w:b/>
      <w:sz w:val="44"/>
    </w:rPr>
  </w:style>
  <w:style w:type="paragraph" w:styleId="Heading4">
    <w:name w:val="heading 4"/>
    <w:aliases w:val="Multi Level List Bullet"/>
    <w:basedOn w:val="Bullet"/>
    <w:next w:val="Bullet"/>
    <w:link w:val="Heading4Char"/>
    <w:uiPriority w:val="9"/>
    <w:semiHidden/>
    <w:unhideWhenUsed/>
    <w:rsid w:val="0018615B"/>
    <w:pPr>
      <w:keepNext/>
      <w:keepLines/>
      <w:numPr>
        <w:ilvl w:val="3"/>
        <w:numId w:val="5"/>
      </w:numPr>
      <w:spacing w:before="40"/>
      <w:outlineLvl w:val="3"/>
    </w:pPr>
    <w:rPr>
      <w:rFonts w:eastAsiaTheme="majorEastAsia" w:cstheme="majorBid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10DB5"/>
    <w:pPr>
      <w:ind w:left="720"/>
      <w:contextualSpacing/>
    </w:pPr>
  </w:style>
  <w:style w:type="table" w:styleId="TableGrid">
    <w:name w:val="Table Grid"/>
    <w:aliases w:val="Wasa Table Grid"/>
    <w:basedOn w:val="TableNormal"/>
    <w:uiPriority w:val="59"/>
    <w:rsid w:val="007620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1"/>
    <w:rsid w:val="002F4754"/>
    <w:pPr>
      <w:spacing w:before="120" w:after="120"/>
    </w:pPr>
    <w:rPr>
      <w:rFonts w:ascii="Helvetica" w:eastAsia="MS PGothic" w:hAnsi="Helvetica" w:cs="Times New Roman (Body CS)"/>
      <w:color w:val="FFFFFF"/>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Helvetica" w:hAnsi="Helvetica"/>
        <w:b w:val="0"/>
        <w:i w:val="0"/>
        <w:color w:val="FFFFFF"/>
        <w:sz w:val="22"/>
      </w:rPr>
      <w:tblPr/>
      <w:tcPr>
        <w:shd w:val="clear" w:color="auto" w:fill="828282"/>
      </w:tcPr>
    </w:tblStylePr>
    <w:tblStylePr w:type="lastRow">
      <w:tblPr/>
      <w:tcPr>
        <w:shd w:val="clear" w:color="auto" w:fill="D9D9D9"/>
      </w:tcPr>
    </w:tblStylePr>
    <w:tblStylePr w:type="firstCol">
      <w:rPr>
        <w:rFonts w:ascii="Helvetica Neue" w:hAnsi="Helvetica Neue"/>
        <w:b w:val="0"/>
        <w:i w:val="0"/>
      </w:rPr>
    </w:tblStylePr>
  </w:style>
  <w:style w:type="table" w:customStyle="1" w:styleId="WasafiriTableGreyRow">
    <w:name w:val="Wasafiri Table Grey Row"/>
    <w:basedOn w:val="TableNormal"/>
    <w:uiPriority w:val="99"/>
    <w:rsid w:val="00F81502"/>
    <w:rPr>
      <w:rFonts w:ascii="Arial" w:eastAsia="MS PGothic" w:hAnsi="Arial" w:cs="Times New Roman"/>
      <w:sz w:val="20"/>
      <w:szCs w:val="20"/>
      <w:lang w:val="en-GB" w:eastAsia="ja-JP"/>
    </w:rPr>
    <w:tblPr>
      <w:tblStyleRowBandSize w:val="1"/>
    </w:tblPr>
    <w:tcPr>
      <w:shd w:val="clear" w:color="auto" w:fill="DB3C14"/>
    </w:tcPr>
    <w:tblStylePr w:type="band1Horz">
      <w:rPr>
        <w:rFonts w:ascii="Arial" w:hAnsi="Arial"/>
        <w:sz w:val="20"/>
      </w:rPr>
      <w:tblPr/>
      <w:tcPr>
        <w:shd w:val="clear" w:color="auto" w:fill="EC552E"/>
      </w:tcPr>
    </w:tblStylePr>
    <w:tblStylePr w:type="band2Horz">
      <w:rPr>
        <w:rFonts w:ascii="Arial" w:hAnsi="Arial"/>
        <w:sz w:val="20"/>
      </w:rPr>
    </w:tblStylePr>
  </w:style>
  <w:style w:type="table" w:customStyle="1" w:styleId="WasafiriTableGreyRow1">
    <w:name w:val="Wasafiri Table Grey Row1"/>
    <w:basedOn w:val="TableNormal"/>
    <w:uiPriority w:val="99"/>
    <w:rsid w:val="004144E1"/>
    <w:rPr>
      <w:rFonts w:ascii="Arial" w:eastAsia="MS PGothic" w:hAnsi="Arial" w:cs="Times New Roman"/>
      <w:sz w:val="20"/>
      <w:szCs w:val="20"/>
      <w:lang w:val="en-GB" w:eastAsia="ja-JP"/>
    </w:rPr>
    <w:tblPr>
      <w:tblStyleRowBandSize w:val="1"/>
    </w:tblPr>
    <w:tcPr>
      <w:shd w:val="clear" w:color="auto" w:fill="DB3C14"/>
    </w:tcPr>
    <w:tblStylePr w:type="band1Horz">
      <w:rPr>
        <w:rFonts w:ascii="Arial" w:hAnsi="Arial"/>
        <w:sz w:val="20"/>
      </w:rPr>
      <w:tblPr/>
      <w:tcPr>
        <w:shd w:val="clear" w:color="auto" w:fill="EC552E"/>
      </w:tcPr>
    </w:tblStylePr>
    <w:tblStylePr w:type="band2Horz">
      <w:rPr>
        <w:rFonts w:ascii="Arial" w:hAnsi="Arial"/>
        <w:sz w:val="20"/>
      </w:rPr>
    </w:tblStylePr>
  </w:style>
  <w:style w:type="paragraph" w:customStyle="1" w:styleId="Bullet">
    <w:name w:val="Bullet"/>
    <w:basedOn w:val="Normal"/>
    <w:link w:val="BulletChar"/>
    <w:rsid w:val="00C64753"/>
    <w:pPr>
      <w:numPr>
        <w:numId w:val="1"/>
      </w:numPr>
      <w:ind w:left="714" w:hanging="357"/>
    </w:pPr>
    <w:rPr>
      <w:rFonts w:eastAsia="Times New Roman" w:cs="Arial"/>
      <w:szCs w:val="20"/>
      <w:lang w:eastAsia="ja-JP"/>
    </w:rPr>
  </w:style>
  <w:style w:type="paragraph" w:customStyle="1" w:styleId="Numbered1">
    <w:name w:val="Numbered 1"/>
    <w:basedOn w:val="TableNumbered1"/>
    <w:next w:val="Bullet"/>
    <w:link w:val="Numbered1Char"/>
    <w:qFormat/>
    <w:rsid w:val="00D27C9B"/>
    <w:rPr>
      <w:sz w:val="22"/>
    </w:rPr>
  </w:style>
  <w:style w:type="paragraph" w:styleId="Footer">
    <w:name w:val="footer"/>
    <w:basedOn w:val="Normal"/>
    <w:link w:val="FooterChar"/>
    <w:uiPriority w:val="99"/>
    <w:unhideWhenUsed/>
    <w:qFormat/>
    <w:rsid w:val="00A66F63"/>
    <w:pPr>
      <w:tabs>
        <w:tab w:val="center" w:pos="4680"/>
        <w:tab w:val="right" w:pos="9360"/>
      </w:tabs>
      <w:jc w:val="right"/>
    </w:pPr>
    <w:rPr>
      <w:color w:val="8B8B8B" w:themeColor="text1" w:themeTint="99"/>
      <w:sz w:val="16"/>
    </w:rPr>
  </w:style>
  <w:style w:type="character" w:customStyle="1" w:styleId="FooterChar">
    <w:name w:val="Footer Char"/>
    <w:basedOn w:val="DefaultParagraphFont"/>
    <w:link w:val="Footer"/>
    <w:uiPriority w:val="99"/>
    <w:rsid w:val="00A66F63"/>
    <w:rPr>
      <w:rFonts w:ascii="Helvetica Neue" w:hAnsi="Helvetica Neue"/>
      <w:color w:val="8B8B8B" w:themeColor="text1" w:themeTint="99"/>
      <w:sz w:val="16"/>
    </w:rPr>
  </w:style>
  <w:style w:type="character" w:styleId="PageNumber">
    <w:name w:val="page number"/>
    <w:basedOn w:val="DefaultParagraphFont"/>
    <w:uiPriority w:val="99"/>
    <w:semiHidden/>
    <w:unhideWhenUsed/>
    <w:rsid w:val="00D03C8A"/>
  </w:style>
  <w:style w:type="character" w:customStyle="1" w:styleId="Heading1Char">
    <w:name w:val="Heading 1 Char"/>
    <w:aliases w:val="Wasa Page Title Char"/>
    <w:basedOn w:val="DefaultParagraphFont"/>
    <w:link w:val="Heading1"/>
    <w:uiPriority w:val="9"/>
    <w:rsid w:val="00F95839"/>
    <w:rPr>
      <w:rFonts w:ascii="Iowan Old Style" w:eastAsiaTheme="majorEastAsia" w:hAnsi="Iowan Old Style" w:cstheme="majorBidi"/>
      <w:b/>
      <w:color w:val="E04307"/>
      <w:sz w:val="52"/>
      <w:szCs w:val="32"/>
    </w:rPr>
  </w:style>
  <w:style w:type="character" w:customStyle="1" w:styleId="Heading2Char">
    <w:name w:val="Heading 2 Char"/>
    <w:aliases w:val="y Char"/>
    <w:basedOn w:val="DefaultParagraphFont"/>
    <w:link w:val="Heading2"/>
    <w:uiPriority w:val="9"/>
    <w:rsid w:val="00602AA9"/>
    <w:rPr>
      <w:rFonts w:ascii="Helvetica Neue" w:eastAsiaTheme="majorEastAsia" w:hAnsi="Helvetica Neue" w:cstheme="majorBidi"/>
      <w:b/>
      <w:color w:val="6F6F6F" w:themeColor="text1" w:themeTint="BF"/>
      <w:sz w:val="22"/>
      <w:szCs w:val="26"/>
    </w:rPr>
  </w:style>
  <w:style w:type="paragraph" w:styleId="Quote">
    <w:name w:val="Quote"/>
    <w:basedOn w:val="Normal"/>
    <w:next w:val="Normal"/>
    <w:link w:val="QuoteChar"/>
    <w:uiPriority w:val="29"/>
    <w:rsid w:val="00960C70"/>
    <w:pPr>
      <w:spacing w:before="200" w:after="160"/>
      <w:ind w:left="864" w:right="864"/>
      <w:jc w:val="center"/>
    </w:pPr>
    <w:rPr>
      <w:rFonts w:ascii="Iowan Old Style Titling" w:hAnsi="Iowan Old Style Titling"/>
      <w:i/>
      <w:iCs/>
      <w:color w:val="E04307"/>
      <w:sz w:val="32"/>
    </w:rPr>
  </w:style>
  <w:style w:type="character" w:customStyle="1" w:styleId="QuoteChar">
    <w:name w:val="Quote Char"/>
    <w:basedOn w:val="DefaultParagraphFont"/>
    <w:link w:val="Quote"/>
    <w:uiPriority w:val="29"/>
    <w:rsid w:val="00960C70"/>
    <w:rPr>
      <w:rFonts w:ascii="Iowan Old Style Titling" w:hAnsi="Iowan Old Style Titling"/>
      <w:i/>
      <w:iCs/>
      <w:color w:val="E04307"/>
      <w:sz w:val="32"/>
    </w:rPr>
  </w:style>
  <w:style w:type="character" w:styleId="CommentReference">
    <w:name w:val="annotation reference"/>
    <w:basedOn w:val="DefaultParagraphFont"/>
    <w:uiPriority w:val="99"/>
    <w:semiHidden/>
    <w:unhideWhenUsed/>
    <w:rsid w:val="00DD5C7C"/>
    <w:rPr>
      <w:sz w:val="16"/>
      <w:szCs w:val="16"/>
    </w:rPr>
  </w:style>
  <w:style w:type="paragraph" w:styleId="CommentText">
    <w:name w:val="annotation text"/>
    <w:basedOn w:val="Normal"/>
    <w:link w:val="CommentTextChar"/>
    <w:uiPriority w:val="99"/>
    <w:semiHidden/>
    <w:unhideWhenUsed/>
    <w:rsid w:val="00DD5C7C"/>
    <w:rPr>
      <w:rFonts w:asciiTheme="minorHAnsi" w:hAnsiTheme="minorHAnsi"/>
      <w:color w:val="auto"/>
      <w:sz w:val="20"/>
      <w:szCs w:val="20"/>
    </w:rPr>
  </w:style>
  <w:style w:type="character" w:customStyle="1" w:styleId="CommentTextChar">
    <w:name w:val="Comment Text Char"/>
    <w:basedOn w:val="DefaultParagraphFont"/>
    <w:link w:val="CommentText"/>
    <w:uiPriority w:val="99"/>
    <w:semiHidden/>
    <w:rsid w:val="00DD5C7C"/>
    <w:rPr>
      <w:sz w:val="20"/>
      <w:szCs w:val="20"/>
    </w:rPr>
  </w:style>
  <w:style w:type="paragraph" w:styleId="BalloonText">
    <w:name w:val="Balloon Text"/>
    <w:basedOn w:val="Normal"/>
    <w:link w:val="BalloonTextChar"/>
    <w:uiPriority w:val="99"/>
    <w:semiHidden/>
    <w:unhideWhenUsed/>
    <w:rsid w:val="00DD5C7C"/>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D5C7C"/>
    <w:rPr>
      <w:rFonts w:ascii="Times New Roman" w:hAnsi="Times New Roman" w:cs="Times New Roman"/>
      <w:color w:val="6F6F6F" w:themeColor="text1" w:themeTint="BF"/>
      <w:sz w:val="18"/>
      <w:szCs w:val="18"/>
    </w:rPr>
  </w:style>
  <w:style w:type="table" w:customStyle="1" w:styleId="Style1">
    <w:name w:val="Style1"/>
    <w:basedOn w:val="TableNormal"/>
    <w:uiPriority w:val="99"/>
    <w:rsid w:val="001421CD"/>
    <w:pPr>
      <w:spacing w:before="120" w:after="120"/>
    </w:pPr>
    <w:rPr>
      <w:rFonts w:ascii="Helvetica Neue" w:hAnsi="Helvetica Neue"/>
      <w:color w:val="6F6F6F" w:themeColor="text1" w:themeTint="BF"/>
      <w:sz w:val="22"/>
    </w:rPr>
    <w:tblPr>
      <w:tblBorders>
        <w:top w:val="single" w:sz="4" w:space="0" w:color="6F6F6F" w:themeColor="text1" w:themeTint="BF"/>
        <w:left w:val="single" w:sz="4" w:space="0" w:color="6F6F6F" w:themeColor="text1" w:themeTint="BF"/>
        <w:bottom w:val="single" w:sz="4" w:space="0" w:color="6F6F6F" w:themeColor="text1" w:themeTint="BF"/>
        <w:right w:val="single" w:sz="4" w:space="0" w:color="6F6F6F" w:themeColor="text1" w:themeTint="BF"/>
        <w:insideH w:val="single" w:sz="4" w:space="0" w:color="6F6F6F" w:themeColor="text1" w:themeTint="BF"/>
        <w:insideV w:val="single" w:sz="4" w:space="0" w:color="6F6F6F" w:themeColor="text1" w:themeTint="BF"/>
      </w:tblBorders>
    </w:tblPr>
    <w:tcPr>
      <w:shd w:val="clear" w:color="auto" w:fill="auto"/>
    </w:tcPr>
    <w:tblStylePr w:type="firstCol">
      <w:rPr>
        <w:rFonts w:ascii="Helvetica Neue" w:hAnsi="Helvetica Neue"/>
        <w:b w:val="0"/>
        <w:i w:val="0"/>
        <w:sz w:val="22"/>
      </w:rPr>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C368BA"/>
    <w:rPr>
      <w:color w:val="605E5C"/>
      <w:shd w:val="clear" w:color="auto" w:fill="E1DFDD"/>
    </w:rPr>
  </w:style>
  <w:style w:type="paragraph" w:styleId="EndnoteText">
    <w:name w:val="endnote text"/>
    <w:basedOn w:val="Normal"/>
    <w:link w:val="EndnoteTextChar"/>
    <w:uiPriority w:val="99"/>
    <w:semiHidden/>
    <w:unhideWhenUsed/>
    <w:rsid w:val="00944005"/>
    <w:rPr>
      <w:sz w:val="20"/>
      <w:szCs w:val="20"/>
    </w:rPr>
  </w:style>
  <w:style w:type="character" w:customStyle="1" w:styleId="EndnoteTextChar">
    <w:name w:val="Endnote Text Char"/>
    <w:basedOn w:val="DefaultParagraphFont"/>
    <w:link w:val="EndnoteText"/>
    <w:uiPriority w:val="99"/>
    <w:semiHidden/>
    <w:rsid w:val="00944005"/>
    <w:rPr>
      <w:rFonts w:ascii="Helvetica Neue" w:hAnsi="Helvetica Neue"/>
      <w:color w:val="6F6F6F" w:themeColor="text1" w:themeTint="BF"/>
      <w:sz w:val="20"/>
      <w:szCs w:val="20"/>
    </w:rPr>
  </w:style>
  <w:style w:type="character" w:styleId="EndnoteReference">
    <w:name w:val="endnote reference"/>
    <w:basedOn w:val="DefaultParagraphFont"/>
    <w:uiPriority w:val="99"/>
    <w:semiHidden/>
    <w:unhideWhenUsed/>
    <w:rsid w:val="00944005"/>
    <w:rPr>
      <w:vertAlign w:val="superscript"/>
    </w:rPr>
  </w:style>
  <w:style w:type="paragraph" w:styleId="FootnoteText">
    <w:name w:val="footnote text"/>
    <w:aliases w:val="Wasa Footnote Text"/>
    <w:basedOn w:val="Normal"/>
    <w:link w:val="FootnoteTextChar"/>
    <w:uiPriority w:val="99"/>
    <w:unhideWhenUsed/>
    <w:qFormat/>
    <w:rsid w:val="00944005"/>
    <w:rPr>
      <w:sz w:val="20"/>
      <w:szCs w:val="20"/>
    </w:rPr>
  </w:style>
  <w:style w:type="character" w:customStyle="1" w:styleId="FootnoteTextChar">
    <w:name w:val="Footnote Text Char"/>
    <w:aliases w:val="Wasa Footnote Text Char"/>
    <w:basedOn w:val="DefaultParagraphFont"/>
    <w:link w:val="FootnoteText"/>
    <w:uiPriority w:val="99"/>
    <w:rsid w:val="00944005"/>
    <w:rPr>
      <w:rFonts w:ascii="Helvetica Neue" w:hAnsi="Helvetica Neue"/>
      <w:color w:val="6F6F6F" w:themeColor="text1" w:themeTint="BF"/>
      <w:sz w:val="20"/>
      <w:szCs w:val="20"/>
    </w:rPr>
  </w:style>
  <w:style w:type="character" w:styleId="FootnoteReference">
    <w:name w:val="footnote reference"/>
    <w:basedOn w:val="DefaultParagraphFont"/>
    <w:uiPriority w:val="99"/>
    <w:semiHidden/>
    <w:unhideWhenUsed/>
    <w:rsid w:val="00944005"/>
    <w:rPr>
      <w:vertAlign w:val="superscript"/>
    </w:rPr>
  </w:style>
  <w:style w:type="character" w:customStyle="1" w:styleId="Heading3Char">
    <w:name w:val="Heading 3 Char"/>
    <w:aliases w:val="Wasa Header 1 Char"/>
    <w:basedOn w:val="DefaultParagraphFont"/>
    <w:link w:val="Heading3"/>
    <w:uiPriority w:val="9"/>
    <w:rsid w:val="00602AA9"/>
    <w:rPr>
      <w:rFonts w:ascii="Iowan Old Style" w:eastAsiaTheme="majorEastAsia" w:hAnsi="Iowan Old Style" w:cstheme="majorBidi"/>
      <w:b/>
      <w:color w:val="3F3F3F" w:themeColor="text1"/>
      <w:sz w:val="44"/>
      <w:lang w:val="en-GB"/>
    </w:rPr>
  </w:style>
  <w:style w:type="paragraph" w:styleId="Title">
    <w:name w:val="Title"/>
    <w:aliases w:val="Wasa Heading 2"/>
    <w:basedOn w:val="Normal"/>
    <w:next w:val="Normal"/>
    <w:link w:val="TitleChar"/>
    <w:uiPriority w:val="10"/>
    <w:rsid w:val="003B06BB"/>
    <w:pPr>
      <w:adjustRightInd w:val="0"/>
      <w:spacing w:before="100" w:after="100"/>
      <w:contextualSpacing/>
    </w:pPr>
    <w:rPr>
      <w:rFonts w:eastAsiaTheme="majorEastAsia" w:cstheme="majorBidi"/>
      <w:b/>
      <w:spacing w:val="-10"/>
      <w:kern w:val="28"/>
      <w:sz w:val="28"/>
      <w:szCs w:val="56"/>
    </w:rPr>
  </w:style>
  <w:style w:type="character" w:customStyle="1" w:styleId="TitleChar">
    <w:name w:val="Title Char"/>
    <w:aliases w:val="Wasa Heading 2 Char"/>
    <w:basedOn w:val="DefaultParagraphFont"/>
    <w:link w:val="Title"/>
    <w:uiPriority w:val="10"/>
    <w:rsid w:val="003B06BB"/>
    <w:rPr>
      <w:rFonts w:ascii="Helvetica Neue" w:eastAsiaTheme="majorEastAsia" w:hAnsi="Helvetica Neue" w:cstheme="majorBidi"/>
      <w:b/>
      <w:color w:val="6F6F6F" w:themeColor="text1" w:themeTint="BF"/>
      <w:spacing w:val="-10"/>
      <w:kern w:val="28"/>
      <w:sz w:val="28"/>
      <w:szCs w:val="56"/>
    </w:rPr>
  </w:style>
  <w:style w:type="character" w:customStyle="1" w:styleId="Heading4Char">
    <w:name w:val="Heading 4 Char"/>
    <w:aliases w:val="Multi Level List Bullet Char"/>
    <w:basedOn w:val="DefaultParagraphFont"/>
    <w:link w:val="Heading4"/>
    <w:uiPriority w:val="9"/>
    <w:semiHidden/>
    <w:rsid w:val="0018615B"/>
    <w:rPr>
      <w:rFonts w:ascii="Gotham Book" w:eastAsiaTheme="majorEastAsia" w:hAnsi="Gotham Book" w:cstheme="majorBidi"/>
      <w:iCs/>
      <w:color w:val="3F3F3F" w:themeColor="text1"/>
      <w:sz w:val="22"/>
      <w:szCs w:val="20"/>
      <w:lang w:val="en-GB" w:eastAsia="ja-JP"/>
    </w:rPr>
  </w:style>
  <w:style w:type="paragraph" w:styleId="Subtitle">
    <w:name w:val="Subtitle"/>
    <w:aliases w:val="Footnote"/>
    <w:basedOn w:val="FootnoteText"/>
    <w:next w:val="FootnoteText"/>
    <w:link w:val="SubtitleChar"/>
    <w:uiPriority w:val="11"/>
    <w:rsid w:val="00753015"/>
    <w:pPr>
      <w:numPr>
        <w:ilvl w:val="1"/>
      </w:numPr>
    </w:pPr>
    <w:rPr>
      <w:rFonts w:eastAsiaTheme="minorEastAsia"/>
      <w:color w:val="404040" w:themeColor="text2" w:themeTint="BF"/>
      <w:spacing w:val="15"/>
      <w:sz w:val="16"/>
      <w:szCs w:val="22"/>
    </w:rPr>
  </w:style>
  <w:style w:type="character" w:customStyle="1" w:styleId="SubtitleChar">
    <w:name w:val="Subtitle Char"/>
    <w:aliases w:val="Footnote Char"/>
    <w:basedOn w:val="DefaultParagraphFont"/>
    <w:link w:val="Subtitle"/>
    <w:uiPriority w:val="11"/>
    <w:rsid w:val="00753015"/>
    <w:rPr>
      <w:rFonts w:ascii="Helvetica Neue" w:eastAsiaTheme="minorEastAsia" w:hAnsi="Helvetica Neue"/>
      <w:color w:val="404040" w:themeColor="text2" w:themeTint="BF"/>
      <w:spacing w:val="15"/>
      <w:sz w:val="16"/>
      <w:szCs w:val="22"/>
    </w:rPr>
  </w:style>
  <w:style w:type="paragraph" w:styleId="IntenseQuote">
    <w:name w:val="Intense Quote"/>
    <w:aliases w:val="Name Under a QUote"/>
    <w:basedOn w:val="Normal"/>
    <w:next w:val="Normal"/>
    <w:link w:val="IntenseQuoteChar"/>
    <w:uiPriority w:val="30"/>
    <w:rsid w:val="0093194E"/>
    <w:pPr>
      <w:ind w:left="862" w:right="862"/>
      <w:jc w:val="center"/>
    </w:pPr>
    <w:rPr>
      <w:iCs/>
      <w:sz w:val="18"/>
    </w:rPr>
  </w:style>
  <w:style w:type="character" w:customStyle="1" w:styleId="IntenseQuoteChar">
    <w:name w:val="Intense Quote Char"/>
    <w:aliases w:val="Name Under a QUote Char"/>
    <w:basedOn w:val="DefaultParagraphFont"/>
    <w:link w:val="IntenseQuote"/>
    <w:uiPriority w:val="30"/>
    <w:rsid w:val="0093194E"/>
    <w:rPr>
      <w:rFonts w:ascii="Helvetica Neue" w:hAnsi="Helvetica Neue"/>
      <w:iCs/>
      <w:color w:val="6F6F6F" w:themeColor="text1" w:themeTint="BF"/>
      <w:sz w:val="18"/>
    </w:rPr>
  </w:style>
  <w:style w:type="paragraph" w:customStyle="1" w:styleId="DocumentTitle">
    <w:name w:val="Document Title"/>
    <w:basedOn w:val="Heading1"/>
    <w:autoRedefine/>
    <w:qFormat/>
    <w:rsid w:val="00A34D83"/>
    <w:rPr>
      <w:rFonts w:ascii="TT Commons Medium" w:hAnsi="TT Commons Medium"/>
      <w:b w:val="0"/>
      <w:color w:val="FFFFFF" w:themeColor="background1"/>
    </w:rPr>
  </w:style>
  <w:style w:type="paragraph" w:customStyle="1" w:styleId="Header1">
    <w:name w:val="Header 1"/>
    <w:basedOn w:val="Heading3"/>
    <w:autoRedefine/>
    <w:qFormat/>
    <w:rsid w:val="00651128"/>
    <w:pPr>
      <w:numPr>
        <w:numId w:val="0"/>
      </w:numPr>
      <w:pBdr>
        <w:top w:val="none" w:sz="0" w:space="0" w:color="auto"/>
        <w:bottom w:val="single" w:sz="8" w:space="1" w:color="4D64AF" w:themeColor="accent1"/>
      </w:pBdr>
    </w:pPr>
    <w:rPr>
      <w:rFonts w:ascii="TT Commons Medium" w:hAnsi="TT Commons Medium"/>
      <w:b w:val="0"/>
      <w:color w:val="4D64AF" w:themeColor="accent1"/>
    </w:rPr>
  </w:style>
  <w:style w:type="paragraph" w:customStyle="1" w:styleId="Header2">
    <w:name w:val="Header 2"/>
    <w:basedOn w:val="Title"/>
    <w:qFormat/>
    <w:rsid w:val="008C18A2"/>
    <w:pPr>
      <w:spacing w:after="240"/>
    </w:pPr>
    <w:rPr>
      <w:rFonts w:ascii="TT Commons Medium" w:hAnsi="TT Commons Medium" w:cs="Times New Roman (Headings CS)"/>
      <w:b w:val="0"/>
      <w:color w:val="000000" w:themeColor="text2"/>
      <w:spacing w:val="0"/>
    </w:rPr>
  </w:style>
  <w:style w:type="paragraph" w:customStyle="1" w:styleId="Header3">
    <w:name w:val="Header 3"/>
    <w:basedOn w:val="Heading2"/>
    <w:qFormat/>
    <w:rsid w:val="00786242"/>
    <w:rPr>
      <w:b w:val="0"/>
      <w:color w:val="707372" w:themeColor="accent4"/>
    </w:rPr>
  </w:style>
  <w:style w:type="paragraph" w:customStyle="1" w:styleId="ContentText">
    <w:name w:val="Content Text"/>
    <w:basedOn w:val="Normal"/>
    <w:link w:val="ContentTextChar"/>
    <w:autoRedefine/>
    <w:qFormat/>
    <w:rsid w:val="00A34D83"/>
    <w:pPr>
      <w:jc w:val="both"/>
    </w:pPr>
    <w:rPr>
      <w:color w:val="FFFFFF" w:themeColor="background1"/>
    </w:rPr>
  </w:style>
  <w:style w:type="paragraph" w:customStyle="1" w:styleId="Bullet1">
    <w:name w:val="Bullet 1"/>
    <w:basedOn w:val="TableBullet1"/>
    <w:qFormat/>
    <w:rsid w:val="00797A1B"/>
  </w:style>
  <w:style w:type="paragraph" w:customStyle="1" w:styleId="Bullet2">
    <w:name w:val="Bullet 2"/>
    <w:basedOn w:val="Bullet"/>
    <w:qFormat/>
    <w:rsid w:val="00797A1B"/>
    <w:pPr>
      <w:numPr>
        <w:ilvl w:val="1"/>
        <w:numId w:val="11"/>
      </w:numPr>
    </w:pPr>
  </w:style>
  <w:style w:type="paragraph" w:customStyle="1" w:styleId="Bullet3">
    <w:name w:val="Bullet 3"/>
    <w:basedOn w:val="Bullet"/>
    <w:qFormat/>
    <w:rsid w:val="00D27C9B"/>
    <w:pPr>
      <w:numPr>
        <w:ilvl w:val="2"/>
        <w:numId w:val="13"/>
      </w:numPr>
    </w:pPr>
  </w:style>
  <w:style w:type="paragraph" w:customStyle="1" w:styleId="Numbered2">
    <w:name w:val="Numbered 2"/>
    <w:basedOn w:val="Numbered1"/>
    <w:qFormat/>
    <w:rsid w:val="00D27C9B"/>
    <w:pPr>
      <w:numPr>
        <w:ilvl w:val="1"/>
        <w:numId w:val="4"/>
      </w:numPr>
    </w:pPr>
  </w:style>
  <w:style w:type="paragraph" w:customStyle="1" w:styleId="Numbered3">
    <w:name w:val="Numbered 3"/>
    <w:basedOn w:val="Numbered1"/>
    <w:qFormat/>
    <w:rsid w:val="00797A1B"/>
    <w:pPr>
      <w:numPr>
        <w:ilvl w:val="2"/>
        <w:numId w:val="12"/>
      </w:numPr>
    </w:pPr>
  </w:style>
  <w:style w:type="paragraph" w:customStyle="1" w:styleId="Emphasis-Italic">
    <w:name w:val="Emphasis - Italic"/>
    <w:basedOn w:val="Normal"/>
    <w:link w:val="Emphasis-ItalicChar"/>
    <w:qFormat/>
    <w:rsid w:val="005D79E5"/>
    <w:pPr>
      <w:jc w:val="both"/>
    </w:pPr>
    <w:rPr>
      <w:i/>
      <w:color w:val="707372"/>
    </w:rPr>
  </w:style>
  <w:style w:type="paragraph" w:customStyle="1" w:styleId="Emphasis-Bold">
    <w:name w:val="Emphasis - Bold"/>
    <w:basedOn w:val="ContentText"/>
    <w:link w:val="Emphasis-BoldChar"/>
    <w:qFormat/>
    <w:rsid w:val="00786242"/>
    <w:rPr>
      <w:rFonts w:ascii="TT Commons Medium" w:hAnsi="TT Commons Medium"/>
    </w:rPr>
  </w:style>
  <w:style w:type="paragraph" w:customStyle="1" w:styleId="Emphasis-Highlight">
    <w:name w:val="Emphasis - Highlight"/>
    <w:basedOn w:val="ContentText"/>
    <w:next w:val="Normal"/>
    <w:link w:val="Emphasis-HighlightChar"/>
    <w:autoRedefine/>
    <w:qFormat/>
    <w:rsid w:val="00786242"/>
    <w:rPr>
      <w:rFonts w:ascii="TT Commons Italic" w:hAnsi="TT Commons Italic"/>
      <w:i/>
      <w:iCs/>
      <w:color w:val="4D64AF" w:themeColor="accent1"/>
    </w:rPr>
  </w:style>
  <w:style w:type="character" w:customStyle="1" w:styleId="Emphasis-HighlightChar">
    <w:name w:val="Emphasis - Highlight Char"/>
    <w:basedOn w:val="BodyTextChar"/>
    <w:link w:val="Emphasis-Highlight"/>
    <w:rsid w:val="00786242"/>
    <w:rPr>
      <w:rFonts w:ascii="TT Commons Italic" w:hAnsi="TT Commons Italic"/>
      <w:i/>
      <w:iCs/>
      <w:color w:val="4D64AF" w:themeColor="accent1"/>
      <w:sz w:val="22"/>
      <w:lang w:val="en-GB"/>
    </w:rPr>
  </w:style>
  <w:style w:type="paragraph" w:styleId="BodyText">
    <w:name w:val="Body Text"/>
    <w:basedOn w:val="Normal"/>
    <w:link w:val="BodyTextChar"/>
    <w:uiPriority w:val="99"/>
    <w:semiHidden/>
    <w:unhideWhenUsed/>
    <w:rsid w:val="00E66FE8"/>
    <w:pPr>
      <w:spacing w:after="120"/>
    </w:pPr>
  </w:style>
  <w:style w:type="character" w:customStyle="1" w:styleId="BodyTextChar">
    <w:name w:val="Body Text Char"/>
    <w:basedOn w:val="DefaultParagraphFont"/>
    <w:link w:val="BodyText"/>
    <w:uiPriority w:val="99"/>
    <w:semiHidden/>
    <w:rsid w:val="00E66FE8"/>
    <w:rPr>
      <w:rFonts w:ascii="Helvetica Neue" w:hAnsi="Helvetica Neue"/>
      <w:color w:val="3F3F3F" w:themeColor="text1"/>
      <w:sz w:val="22"/>
    </w:rPr>
  </w:style>
  <w:style w:type="character" w:customStyle="1" w:styleId="ContentTextChar">
    <w:name w:val="Content Text Char"/>
    <w:basedOn w:val="DefaultParagraphFont"/>
    <w:link w:val="ContentText"/>
    <w:rsid w:val="00A34D83"/>
    <w:rPr>
      <w:rFonts w:ascii="TT Commons" w:hAnsi="TT Commons"/>
      <w:color w:val="FFFFFF" w:themeColor="background1"/>
      <w:sz w:val="22"/>
      <w:lang w:val="en-GB"/>
    </w:rPr>
  </w:style>
  <w:style w:type="character" w:customStyle="1" w:styleId="Emphasis-BoldChar">
    <w:name w:val="Emphasis - Bold Char"/>
    <w:basedOn w:val="ContentTextChar"/>
    <w:link w:val="Emphasis-Bold"/>
    <w:rsid w:val="00786242"/>
    <w:rPr>
      <w:rFonts w:ascii="TT Commons Medium" w:hAnsi="TT Commons Medium"/>
      <w:color w:val="FFFFFF" w:themeColor="background1"/>
      <w:sz w:val="22"/>
      <w:lang w:val="en-GB"/>
    </w:rPr>
  </w:style>
  <w:style w:type="character" w:customStyle="1" w:styleId="Emphasis-ItalicChar">
    <w:name w:val="Emphasis - Italic Char"/>
    <w:basedOn w:val="DefaultParagraphFont"/>
    <w:link w:val="Emphasis-Italic"/>
    <w:rsid w:val="005D79E5"/>
    <w:rPr>
      <w:rFonts w:ascii="Gotham Book" w:hAnsi="Gotham Book"/>
      <w:i/>
      <w:color w:val="707372"/>
      <w:sz w:val="22"/>
      <w:lang w:val="en-GB"/>
    </w:rPr>
  </w:style>
  <w:style w:type="paragraph" w:customStyle="1" w:styleId="Quotation">
    <w:name w:val="Quotation"/>
    <w:basedOn w:val="Quote"/>
    <w:qFormat/>
    <w:rsid w:val="00B924A0"/>
    <w:pPr>
      <w:spacing w:before="0" w:after="0"/>
    </w:pPr>
    <w:rPr>
      <w:rFonts w:ascii="TT Commons Light Italic" w:hAnsi="TT Commons Light Italic" w:cs="Arial"/>
      <w:color w:val="AAA9AA" w:themeColor="accent5"/>
      <w:sz w:val="28"/>
      <w:szCs w:val="28"/>
    </w:rPr>
  </w:style>
  <w:style w:type="paragraph" w:customStyle="1" w:styleId="NameUnderQuotation">
    <w:name w:val="Name Under Quotation"/>
    <w:basedOn w:val="IntenseQuote"/>
    <w:qFormat/>
    <w:rsid w:val="00E66FE8"/>
  </w:style>
  <w:style w:type="paragraph" w:customStyle="1" w:styleId="TableHeader1">
    <w:name w:val="Table Header 1"/>
    <w:basedOn w:val="Normal"/>
    <w:qFormat/>
    <w:rsid w:val="00D24DD3"/>
    <w:pPr>
      <w:spacing w:before="120" w:after="120"/>
    </w:pPr>
    <w:rPr>
      <w:rFonts w:ascii="TT Commons Medium" w:eastAsia="Arial Unicode MS" w:hAnsi="TT Commons Medium" w:cs="Times"/>
      <w:color w:val="FFFFFF"/>
      <w:spacing w:val="8"/>
      <w:kern w:val="20"/>
      <w:szCs w:val="22"/>
      <w:bdr w:val="nil"/>
      <w:lang w:val="en-US"/>
    </w:rPr>
  </w:style>
  <w:style w:type="paragraph" w:customStyle="1" w:styleId="TableHeader2">
    <w:name w:val="Table Header 2"/>
    <w:basedOn w:val="Normal"/>
    <w:qFormat/>
    <w:rsid w:val="00D24DD3"/>
    <w:pPr>
      <w:spacing w:before="120" w:after="120"/>
    </w:pPr>
    <w:rPr>
      <w:rFonts w:eastAsia="Arial Unicode MS" w:cs="Times"/>
      <w:spacing w:val="8"/>
      <w:kern w:val="20"/>
      <w:sz w:val="20"/>
      <w:szCs w:val="22"/>
      <w:bdr w:val="nil"/>
      <w:lang w:val="en-US"/>
    </w:rPr>
  </w:style>
  <w:style w:type="paragraph" w:customStyle="1" w:styleId="TableContent">
    <w:name w:val="Table Content"/>
    <w:basedOn w:val="Normal"/>
    <w:qFormat/>
    <w:rsid w:val="00D24DD3"/>
    <w:pPr>
      <w:spacing w:before="120" w:after="120"/>
    </w:pPr>
    <w:rPr>
      <w:rFonts w:eastAsia="Arial Unicode MS" w:cs="Times"/>
      <w:kern w:val="20"/>
      <w:sz w:val="16"/>
      <w:szCs w:val="22"/>
      <w:bdr w:val="nil"/>
      <w:lang w:val="en-US"/>
    </w:rPr>
  </w:style>
  <w:style w:type="paragraph" w:customStyle="1" w:styleId="TableBullet1">
    <w:name w:val="Table Bullet 1"/>
    <w:basedOn w:val="Bullet"/>
    <w:next w:val="Normal"/>
    <w:link w:val="TableBullet1Char"/>
    <w:qFormat/>
    <w:rsid w:val="00D27C9B"/>
    <w:pPr>
      <w:numPr>
        <w:numId w:val="10"/>
      </w:numPr>
      <w:spacing w:before="120" w:after="120"/>
    </w:pPr>
    <w:rPr>
      <w:rFonts w:eastAsia="Arial Unicode MS" w:cs="Times New Roman"/>
      <w:szCs w:val="22"/>
      <w:bdr w:val="nil"/>
      <w:lang w:val="en-US"/>
    </w:rPr>
  </w:style>
  <w:style w:type="paragraph" w:customStyle="1" w:styleId="TableNumbered1">
    <w:name w:val="Table Numbered 1"/>
    <w:basedOn w:val="ListParagraph"/>
    <w:link w:val="TableNumbered1Char"/>
    <w:qFormat/>
    <w:rsid w:val="00D24DD3"/>
    <w:pPr>
      <w:numPr>
        <w:numId w:val="2"/>
      </w:numPr>
      <w:spacing w:before="120" w:after="120"/>
      <w:contextualSpacing w:val="0"/>
    </w:pPr>
    <w:rPr>
      <w:rFonts w:eastAsia="Arial Unicode MS" w:cs="Times New Roman"/>
      <w:sz w:val="18"/>
      <w:szCs w:val="22"/>
      <w:bdr w:val="nil"/>
      <w:lang w:val="en-US"/>
    </w:rPr>
  </w:style>
  <w:style w:type="character" w:customStyle="1" w:styleId="BulletChar">
    <w:name w:val="Bullet Char"/>
    <w:basedOn w:val="DefaultParagraphFont"/>
    <w:link w:val="Bullet"/>
    <w:rsid w:val="00E66FE8"/>
    <w:rPr>
      <w:rFonts w:ascii="Gotham Book" w:eastAsia="Times New Roman" w:hAnsi="Gotham Book" w:cs="Arial"/>
      <w:color w:val="3F3F3F" w:themeColor="text1"/>
      <w:sz w:val="22"/>
      <w:szCs w:val="20"/>
      <w:lang w:val="en-GB" w:eastAsia="ja-JP"/>
    </w:rPr>
  </w:style>
  <w:style w:type="character" w:customStyle="1" w:styleId="TableBullet1Char">
    <w:name w:val="Table Bullet 1 Char"/>
    <w:basedOn w:val="BulletChar"/>
    <w:link w:val="TableBullet1"/>
    <w:rsid w:val="00D27C9B"/>
    <w:rPr>
      <w:rFonts w:ascii="TT Commons" w:eastAsia="Arial Unicode MS" w:hAnsi="TT Commons" w:cs="Times New Roman"/>
      <w:color w:val="3F3F3F" w:themeColor="text1"/>
      <w:sz w:val="22"/>
      <w:szCs w:val="22"/>
      <w:bdr w:val="nil"/>
      <w:lang w:val="en-US" w:eastAsia="ja-JP"/>
    </w:rPr>
  </w:style>
  <w:style w:type="character" w:customStyle="1" w:styleId="ListParagraphChar">
    <w:name w:val="List Paragraph Char"/>
    <w:basedOn w:val="DefaultParagraphFont"/>
    <w:link w:val="ListParagraph"/>
    <w:uiPriority w:val="34"/>
    <w:rsid w:val="00322E80"/>
    <w:rPr>
      <w:rFonts w:ascii="Helvetica Neue" w:hAnsi="Helvetica Neue"/>
      <w:color w:val="3F3F3F" w:themeColor="text1"/>
      <w:sz w:val="22"/>
    </w:rPr>
  </w:style>
  <w:style w:type="character" w:customStyle="1" w:styleId="TableNumbered1Char">
    <w:name w:val="Table Numbered 1 Char"/>
    <w:basedOn w:val="ListParagraphChar"/>
    <w:link w:val="TableNumbered1"/>
    <w:rsid w:val="00D24DD3"/>
    <w:rPr>
      <w:rFonts w:ascii="TT Commons" w:eastAsia="Arial Unicode MS" w:hAnsi="TT Commons" w:cs="Times New Roman"/>
      <w:color w:val="3F3F3F" w:themeColor="text1"/>
      <w:sz w:val="18"/>
      <w:szCs w:val="22"/>
      <w:bdr w:val="nil"/>
      <w:lang w:val="en-US"/>
    </w:rPr>
  </w:style>
  <w:style w:type="character" w:customStyle="1" w:styleId="Numbered1Char">
    <w:name w:val="Numbered 1 Char"/>
    <w:basedOn w:val="DefaultParagraphFont"/>
    <w:link w:val="Numbered1"/>
    <w:rsid w:val="00D27C9B"/>
    <w:rPr>
      <w:rFonts w:ascii="TT Commons" w:eastAsia="Arial Unicode MS" w:hAnsi="TT Commons" w:cs="Times New Roman"/>
      <w:color w:val="3F3F3F" w:themeColor="text1"/>
      <w:sz w:val="22"/>
      <w:szCs w:val="22"/>
      <w:bdr w:val="nil"/>
      <w:lang w:val="en-US"/>
    </w:rPr>
  </w:style>
  <w:style w:type="paragraph" w:styleId="ListNumber">
    <w:name w:val="List Number"/>
    <w:basedOn w:val="Normal"/>
    <w:uiPriority w:val="99"/>
    <w:semiHidden/>
    <w:unhideWhenUsed/>
    <w:rsid w:val="00773C6F"/>
    <w:pPr>
      <w:numPr>
        <w:numId w:val="6"/>
      </w:numPr>
      <w:contextualSpacing/>
    </w:pPr>
  </w:style>
  <w:style w:type="character" w:customStyle="1" w:styleId="FootnoteSuperscript">
    <w:name w:val="Footnote Superscript"/>
    <w:basedOn w:val="FootnoteReference"/>
    <w:uiPriority w:val="1"/>
    <w:qFormat/>
    <w:rsid w:val="005D79E5"/>
    <w:rPr>
      <w:color w:val="25428E"/>
      <w:vertAlign w:val="superscript"/>
    </w:rPr>
  </w:style>
  <w:style w:type="paragraph" w:customStyle="1" w:styleId="Footnote1">
    <w:name w:val="Footnote 1"/>
    <w:basedOn w:val="FootnoteText"/>
    <w:qFormat/>
    <w:rsid w:val="00753015"/>
    <w:rPr>
      <w:sz w:val="16"/>
      <w:szCs w:val="16"/>
    </w:rPr>
  </w:style>
  <w:style w:type="paragraph" w:styleId="TOC1">
    <w:name w:val="toc 1"/>
    <w:basedOn w:val="Normal"/>
    <w:next w:val="Normal"/>
    <w:autoRedefine/>
    <w:uiPriority w:val="39"/>
    <w:unhideWhenUsed/>
    <w:rsid w:val="001424E7"/>
    <w:pPr>
      <w:spacing w:after="100"/>
    </w:pPr>
  </w:style>
  <w:style w:type="paragraph" w:styleId="TOC2">
    <w:name w:val="toc 2"/>
    <w:basedOn w:val="Normal"/>
    <w:next w:val="Normal"/>
    <w:autoRedefine/>
    <w:uiPriority w:val="39"/>
    <w:unhideWhenUsed/>
    <w:rsid w:val="001424E7"/>
    <w:pPr>
      <w:spacing w:after="100"/>
      <w:ind w:left="220"/>
    </w:pPr>
  </w:style>
  <w:style w:type="character" w:styleId="Hyperlink">
    <w:name w:val="Hyperlink"/>
    <w:basedOn w:val="DefaultParagraphFont"/>
    <w:uiPriority w:val="99"/>
    <w:unhideWhenUsed/>
    <w:rsid w:val="001424E7"/>
    <w:rPr>
      <w:color w:val="4D64AF" w:themeColor="hyperlink"/>
      <w:u w:val="single"/>
    </w:rPr>
  </w:style>
  <w:style w:type="paragraph" w:customStyle="1" w:styleId="WasaBullet1">
    <w:name w:val="Wasa Bullet 1"/>
    <w:basedOn w:val="Normal"/>
    <w:qFormat/>
    <w:rsid w:val="00287F2A"/>
    <w:pPr>
      <w:numPr>
        <w:numId w:val="9"/>
      </w:numPr>
      <w:spacing w:line="240" w:lineRule="atLeast"/>
      <w:contextualSpacing/>
    </w:pPr>
    <w:rPr>
      <w:rFonts w:ascii="Arial" w:eastAsia="Times New Roman" w:hAnsi="Arial" w:cs="Arial"/>
      <w:color w:val="auto"/>
      <w:sz w:val="20"/>
      <w:szCs w:val="20"/>
      <w:lang w:eastAsia="ja-JP"/>
    </w:rPr>
  </w:style>
  <w:style w:type="paragraph" w:customStyle="1" w:styleId="DayFourPorjects">
    <w:name w:val="Day Four Porjects"/>
    <w:basedOn w:val="Normal"/>
    <w:link w:val="DayFourPorjectsChar"/>
    <w:rsid w:val="005D79E5"/>
  </w:style>
  <w:style w:type="paragraph" w:styleId="Header">
    <w:name w:val="header"/>
    <w:basedOn w:val="Normal"/>
    <w:link w:val="HeaderChar"/>
    <w:uiPriority w:val="99"/>
    <w:unhideWhenUsed/>
    <w:rsid w:val="005D79E5"/>
    <w:pPr>
      <w:tabs>
        <w:tab w:val="center" w:pos="4680"/>
        <w:tab w:val="right" w:pos="9360"/>
      </w:tabs>
    </w:pPr>
  </w:style>
  <w:style w:type="character" w:customStyle="1" w:styleId="DayFourPorjectsChar">
    <w:name w:val="Day Four Porjects Char"/>
    <w:basedOn w:val="DefaultParagraphFont"/>
    <w:link w:val="DayFourPorjects"/>
    <w:rsid w:val="005D79E5"/>
    <w:rPr>
      <w:rFonts w:ascii="Helvetica Neue" w:hAnsi="Helvetica Neue"/>
      <w:color w:val="3F3F3F" w:themeColor="text1"/>
      <w:sz w:val="22"/>
      <w:lang w:val="en-GB"/>
    </w:rPr>
  </w:style>
  <w:style w:type="character" w:customStyle="1" w:styleId="HeaderChar">
    <w:name w:val="Header Char"/>
    <w:basedOn w:val="DefaultParagraphFont"/>
    <w:link w:val="Header"/>
    <w:uiPriority w:val="99"/>
    <w:rsid w:val="005D79E5"/>
    <w:rPr>
      <w:rFonts w:ascii="Gotham Book" w:hAnsi="Gotham Book"/>
      <w:color w:val="3F3F3F" w:themeColor="text1"/>
      <w:sz w:val="22"/>
      <w:lang w:val="en-GB"/>
    </w:rPr>
  </w:style>
  <w:style w:type="paragraph" w:customStyle="1" w:styleId="HeadingCaption">
    <w:name w:val="Heading Caption"/>
    <w:basedOn w:val="Normal"/>
    <w:qFormat/>
    <w:rsid w:val="00786242"/>
    <w:rPr>
      <w:sz w:val="28"/>
    </w:rPr>
  </w:style>
  <w:style w:type="paragraph" w:customStyle="1" w:styleId="HeadingCapton">
    <w:name w:val="Heading Capton"/>
    <w:basedOn w:val="Normal"/>
    <w:qFormat/>
    <w:rsid w:val="00786242"/>
    <w:rPr>
      <w:sz w:val="24"/>
    </w:rPr>
  </w:style>
  <w:style w:type="paragraph" w:customStyle="1" w:styleId="Headingcaptoin">
    <w:name w:val="Heading captoin"/>
    <w:basedOn w:val="Normal"/>
    <w:qFormat/>
    <w:rsid w:val="008C18A2"/>
    <w:rPr>
      <w:sz w:val="28"/>
    </w:rPr>
  </w:style>
  <w:style w:type="paragraph" w:customStyle="1" w:styleId="Headingcaption0">
    <w:name w:val="Heading caption"/>
    <w:basedOn w:val="Normal"/>
    <w:autoRedefine/>
    <w:qFormat/>
    <w:rsid w:val="008C18A2"/>
    <w:rPr>
      <w:rFonts w:cs="Times New Roman (Body CS)"/>
      <w:spacing w:val="20"/>
      <w:sz w:val="20"/>
    </w:rPr>
  </w:style>
  <w:style w:type="paragraph" w:styleId="NoSpacing">
    <w:name w:val="No Spacing"/>
    <w:link w:val="NoSpacingChar"/>
    <w:uiPriority w:val="1"/>
    <w:qFormat/>
    <w:rsid w:val="00D27C9B"/>
    <w:rPr>
      <w:rFonts w:eastAsiaTheme="minorEastAsia"/>
      <w:sz w:val="22"/>
      <w:szCs w:val="22"/>
      <w:lang w:val="en-US" w:eastAsia="zh-CN"/>
    </w:rPr>
  </w:style>
  <w:style w:type="character" w:customStyle="1" w:styleId="NoSpacingChar">
    <w:name w:val="No Spacing Char"/>
    <w:basedOn w:val="DefaultParagraphFont"/>
    <w:link w:val="NoSpacing"/>
    <w:uiPriority w:val="1"/>
    <w:rsid w:val="00D27C9B"/>
    <w:rPr>
      <w:rFonts w:eastAsiaTheme="minorEastAsia"/>
      <w:sz w:val="22"/>
      <w:szCs w:val="22"/>
      <w:lang w:val="en-US" w:eastAsia="zh-CN"/>
    </w:rPr>
  </w:style>
  <w:style w:type="paragraph" w:customStyle="1" w:styleId="Header1-Inverted">
    <w:name w:val="Header 1 - Inverted"/>
    <w:next w:val="Normal"/>
    <w:qFormat/>
    <w:rsid w:val="00651128"/>
    <w:pPr>
      <w:pBdr>
        <w:left w:val="single" w:sz="4" w:space="4" w:color="FFFFFF" w:themeColor="background1"/>
        <w:right w:val="single" w:sz="4" w:space="4" w:color="FFFFFF" w:themeColor="background1"/>
      </w:pBdr>
    </w:pPr>
    <w:rPr>
      <w:rFonts w:ascii="TT Commons Medium" w:eastAsiaTheme="majorEastAsia" w:hAnsi="TT Commons Medium" w:cstheme="majorBidi"/>
      <w:color w:val="FFFFFF" w:themeColor="background1"/>
      <w:sz w:val="4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1239909">
      <w:bodyDiv w:val="1"/>
      <w:marLeft w:val="0"/>
      <w:marRight w:val="0"/>
      <w:marTop w:val="0"/>
      <w:marBottom w:val="0"/>
      <w:divBdr>
        <w:top w:val="none" w:sz="0" w:space="0" w:color="auto"/>
        <w:left w:val="none" w:sz="0" w:space="0" w:color="auto"/>
        <w:bottom w:val="none" w:sz="0" w:space="0" w:color="auto"/>
        <w:right w:val="none" w:sz="0" w:space="0" w:color="auto"/>
      </w:divBdr>
    </w:div>
    <w:div w:id="1239559022">
      <w:bodyDiv w:val="1"/>
      <w:marLeft w:val="0"/>
      <w:marRight w:val="0"/>
      <w:marTop w:val="0"/>
      <w:marBottom w:val="0"/>
      <w:divBdr>
        <w:top w:val="none" w:sz="0" w:space="0" w:color="auto"/>
        <w:left w:val="none" w:sz="0" w:space="0" w:color="auto"/>
        <w:bottom w:val="none" w:sz="0" w:space="0" w:color="auto"/>
        <w:right w:val="none" w:sz="0" w:space="0" w:color="auto"/>
      </w:divBdr>
    </w:div>
    <w:div w:id="1615870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georgie/Desktop/Day%20four%20projects/D4P%20doc%20examples/D4PTemplate.dotx" TargetMode="External"/></Relationships>
</file>

<file path=word/theme/theme1.xml><?xml version="1.0" encoding="utf-8"?>
<a:theme xmlns:a="http://schemas.openxmlformats.org/drawingml/2006/main" name="D4P">
  <a:themeElements>
    <a:clrScheme name="Day Four Projects">
      <a:dk1>
        <a:srgbClr val="3F3F3F"/>
      </a:dk1>
      <a:lt1>
        <a:srgbClr val="FFFFFF"/>
      </a:lt1>
      <a:dk2>
        <a:srgbClr val="000000"/>
      </a:dk2>
      <a:lt2>
        <a:srgbClr val="EEECE1"/>
      </a:lt2>
      <a:accent1>
        <a:srgbClr val="4D64AF"/>
      </a:accent1>
      <a:accent2>
        <a:srgbClr val="25428E"/>
      </a:accent2>
      <a:accent3>
        <a:srgbClr val="263674"/>
      </a:accent3>
      <a:accent4>
        <a:srgbClr val="707372"/>
      </a:accent4>
      <a:accent5>
        <a:srgbClr val="AAA9AA"/>
      </a:accent5>
      <a:accent6>
        <a:srgbClr val="FECA9A"/>
      </a:accent6>
      <a:hlink>
        <a:srgbClr val="4D64AF"/>
      </a:hlink>
      <a:folHlink>
        <a:srgbClr val="7073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2B506A-9F2C-A042-96F7-BFE84A098D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D4PTemplate.dotx</Template>
  <TotalTime>47</TotalTime>
  <Pages>7</Pages>
  <Words>2581</Words>
  <Characters>14717</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Cameron Willis</cp:lastModifiedBy>
  <cp:revision>32</cp:revision>
  <cp:lastPrinted>2019-02-06T12:29:00Z</cp:lastPrinted>
  <dcterms:created xsi:type="dcterms:W3CDTF">2021-02-09T22:50:00Z</dcterms:created>
  <dcterms:modified xsi:type="dcterms:W3CDTF">2024-06-28T03:14:00Z</dcterms:modified>
</cp:coreProperties>
</file>